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2"/>
        <w:gridCol w:w="6143"/>
      </w:tblGrid>
      <w:tr w:rsidR="003313D9" w:rsidRPr="00FB71CD" w14:paraId="70EB8A0D" w14:textId="77777777" w:rsidTr="00574C09">
        <w:tc>
          <w:tcPr>
            <w:tcW w:w="1734" w:type="pct"/>
            <w:tcBorders>
              <w:top w:val="nil"/>
              <w:left w:val="nil"/>
              <w:bottom w:val="nil"/>
              <w:right w:val="nil"/>
              <w:tl2br w:val="nil"/>
              <w:tr2bl w:val="nil"/>
            </w:tcBorders>
            <w:tcMar>
              <w:top w:w="0" w:type="dxa"/>
              <w:left w:w="108" w:type="dxa"/>
              <w:bottom w:w="0" w:type="dxa"/>
              <w:right w:w="108" w:type="dxa"/>
            </w:tcMar>
          </w:tcPr>
          <w:bookmarkStart w:id="0" w:name="_Hlk219139225"/>
          <w:p w14:paraId="043726D3" w14:textId="64D48173" w:rsidR="003313D9" w:rsidRPr="00DD4472" w:rsidRDefault="003313D9" w:rsidP="00574C09">
            <w:pPr>
              <w:spacing w:before="120"/>
              <w:jc w:val="center"/>
              <w:rPr>
                <w:b/>
                <w:bCs/>
                <w:sz w:val="28"/>
                <w:szCs w:val="28"/>
              </w:rPr>
            </w:pPr>
            <w:r w:rsidRPr="00DD4472">
              <w:rPr>
                <w:b/>
                <w:bCs/>
                <w:noProof/>
                <w:sz w:val="28"/>
                <w:szCs w:val="28"/>
                <w14:ligatures w14:val="standardContextual"/>
              </w:rPr>
              <mc:AlternateContent>
                <mc:Choice Requires="wps">
                  <w:drawing>
                    <wp:anchor distT="0" distB="0" distL="114300" distR="114300" simplePos="0" relativeHeight="251659264" behindDoc="0" locked="0" layoutInCell="1" allowOverlap="1" wp14:anchorId="74B339F1" wp14:editId="1AC2D348">
                      <wp:simplePos x="0" y="0"/>
                      <wp:positionH relativeFrom="column">
                        <wp:posOffset>498930</wp:posOffset>
                      </wp:positionH>
                      <wp:positionV relativeFrom="paragraph">
                        <wp:posOffset>504861</wp:posOffset>
                      </wp:positionV>
                      <wp:extent cx="1026544" cy="0"/>
                      <wp:effectExtent l="0" t="0" r="0" b="0"/>
                      <wp:wrapNone/>
                      <wp:docPr id="2063296445" name="Straight Connector 1"/>
                      <wp:cNvGraphicFramePr/>
                      <a:graphic xmlns:a="http://schemas.openxmlformats.org/drawingml/2006/main">
                        <a:graphicData uri="http://schemas.microsoft.com/office/word/2010/wordprocessingShape">
                          <wps:wsp>
                            <wps:cNvCnPr/>
                            <wps:spPr>
                              <a:xfrm>
                                <a:off x="0" y="0"/>
                                <a:ext cx="102654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EF103C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3pt,39.75pt" to="120.1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" strokecolor="windowText" strokeweight=".5pt">
                      <v:stroke joinstyle="miter"/>
                    </v:line>
                  </w:pict>
                </mc:Fallback>
              </mc:AlternateContent>
            </w:r>
            <w:r w:rsidR="00DD4472" w:rsidRPr="00DD4472">
              <w:rPr>
                <w:b/>
                <w:bCs/>
                <w:sz w:val="28"/>
                <w:szCs w:val="28"/>
              </w:rPr>
              <w:t xml:space="preserve">ỦY BAN NHÂN DÂN TỈNH </w:t>
            </w:r>
            <w:r w:rsidR="00E66E3E">
              <w:rPr>
                <w:b/>
                <w:bCs/>
                <w:sz w:val="28"/>
                <w:szCs w:val="28"/>
              </w:rPr>
              <w:t>ĐIỆN BIÊN</w:t>
            </w:r>
            <w:r w:rsidRPr="00DD4472">
              <w:rPr>
                <w:b/>
                <w:bCs/>
                <w:sz w:val="28"/>
                <w:szCs w:val="28"/>
              </w:rPr>
              <w:br/>
            </w:r>
          </w:p>
        </w:tc>
        <w:tc>
          <w:tcPr>
            <w:tcW w:w="3266" w:type="pct"/>
            <w:tcBorders>
              <w:top w:val="nil"/>
              <w:left w:val="nil"/>
              <w:bottom w:val="nil"/>
              <w:right w:val="nil"/>
              <w:tl2br w:val="nil"/>
              <w:tr2bl w:val="nil"/>
            </w:tcBorders>
            <w:tcMar>
              <w:top w:w="0" w:type="dxa"/>
              <w:left w:w="108" w:type="dxa"/>
              <w:bottom w:w="0" w:type="dxa"/>
              <w:right w:w="108" w:type="dxa"/>
            </w:tcMar>
          </w:tcPr>
          <w:p w14:paraId="52D92EF7" w14:textId="77777777" w:rsidR="003313D9" w:rsidRPr="00FB71CD" w:rsidRDefault="003313D9" w:rsidP="00574C09">
            <w:pPr>
              <w:spacing w:before="120"/>
              <w:jc w:val="center"/>
              <w:rPr>
                <w:sz w:val="28"/>
                <w:szCs w:val="28"/>
              </w:rPr>
            </w:pPr>
            <w:r w:rsidRPr="00FB71CD">
              <w:rPr>
                <w:b/>
                <w:bCs/>
                <w:noProof/>
                <w:sz w:val="28"/>
                <w:szCs w:val="28"/>
                <w14:ligatures w14:val="standardContextual"/>
              </w:rPr>
              <mc:AlternateContent>
                <mc:Choice Requires="wps">
                  <w:drawing>
                    <wp:anchor distT="0" distB="0" distL="114300" distR="114300" simplePos="0" relativeHeight="251660288" behindDoc="0" locked="0" layoutInCell="1" allowOverlap="1" wp14:anchorId="3F302708" wp14:editId="35562863">
                      <wp:simplePos x="0" y="0"/>
                      <wp:positionH relativeFrom="column">
                        <wp:posOffset>825704</wp:posOffset>
                      </wp:positionH>
                      <wp:positionV relativeFrom="paragraph">
                        <wp:posOffset>504861</wp:posOffset>
                      </wp:positionV>
                      <wp:extent cx="2122098" cy="0"/>
                      <wp:effectExtent l="0" t="0" r="0" b="0"/>
                      <wp:wrapNone/>
                      <wp:docPr id="1918729397" name="Straight Connector 2"/>
                      <wp:cNvGraphicFramePr/>
                      <a:graphic xmlns:a="http://schemas.openxmlformats.org/drawingml/2006/main">
                        <a:graphicData uri="http://schemas.microsoft.com/office/word/2010/wordprocessingShape">
                          <wps:wsp>
                            <wps:cNvCnPr/>
                            <wps:spPr>
                              <a:xfrm>
                                <a:off x="0" y="0"/>
                                <a:ext cx="212209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6F101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pt,39.75pt" to="232.1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" strokecolor="windowText" strokeweight=".5pt">
                      <v:stroke joinstyle="miter"/>
                    </v:line>
                  </w:pict>
                </mc:Fallback>
              </mc:AlternateContent>
            </w:r>
            <w:r w:rsidRPr="00FB71CD">
              <w:rPr>
                <w:b/>
                <w:bCs/>
                <w:sz w:val="28"/>
                <w:szCs w:val="28"/>
              </w:rPr>
              <w:t>CỘNG HÒA XÃ HỘI CHỦ NGHĨA VIỆT NAM</w:t>
            </w:r>
            <w:r w:rsidRPr="00FB71CD">
              <w:rPr>
                <w:b/>
                <w:bCs/>
                <w:sz w:val="28"/>
                <w:szCs w:val="28"/>
              </w:rPr>
              <w:br/>
              <w:t xml:space="preserve">Độc lập - Tự do - Hạnh phúc </w:t>
            </w:r>
            <w:r w:rsidRPr="00FB71CD">
              <w:rPr>
                <w:b/>
                <w:bCs/>
                <w:sz w:val="28"/>
                <w:szCs w:val="28"/>
              </w:rPr>
              <w:br/>
            </w:r>
          </w:p>
        </w:tc>
      </w:tr>
      <w:bookmarkEnd w:id="0"/>
      <w:tr w:rsidR="003313D9" w:rsidRPr="00FB71CD" w14:paraId="6C8E4392" w14:textId="77777777" w:rsidTr="00574C09">
        <w:tblPrEx>
          <w:tblBorders>
            <w:top w:val="none" w:sz="0" w:space="0" w:color="auto"/>
            <w:bottom w:val="none" w:sz="0" w:space="0" w:color="auto"/>
            <w:insideH w:val="none" w:sz="0" w:space="0" w:color="auto"/>
            <w:insideV w:val="none" w:sz="0" w:space="0" w:color="auto"/>
          </w:tblBorders>
        </w:tblPrEx>
        <w:tc>
          <w:tcPr>
            <w:tcW w:w="1734" w:type="pct"/>
            <w:tcBorders>
              <w:top w:val="nil"/>
              <w:left w:val="nil"/>
              <w:bottom w:val="nil"/>
              <w:right w:val="nil"/>
              <w:tl2br w:val="nil"/>
              <w:tr2bl w:val="nil"/>
            </w:tcBorders>
            <w:tcMar>
              <w:top w:w="0" w:type="dxa"/>
              <w:left w:w="108" w:type="dxa"/>
              <w:bottom w:w="0" w:type="dxa"/>
              <w:right w:w="108" w:type="dxa"/>
            </w:tcMar>
          </w:tcPr>
          <w:p w14:paraId="171C0A23" w14:textId="27B0A587" w:rsidR="003313D9" w:rsidRPr="00FB71CD" w:rsidRDefault="003313D9" w:rsidP="00574C09">
            <w:pPr>
              <w:spacing w:before="120"/>
              <w:jc w:val="center"/>
              <w:rPr>
                <w:sz w:val="28"/>
                <w:szCs w:val="28"/>
              </w:rPr>
            </w:pPr>
            <w:r w:rsidRPr="00FB71CD">
              <w:rPr>
                <w:sz w:val="28"/>
                <w:szCs w:val="28"/>
              </w:rPr>
              <w:t>Số:      /TTr-</w:t>
            </w:r>
            <w:r w:rsidR="00DD4472">
              <w:rPr>
                <w:sz w:val="28"/>
                <w:szCs w:val="28"/>
              </w:rPr>
              <w:t>UBND</w:t>
            </w:r>
          </w:p>
        </w:tc>
        <w:tc>
          <w:tcPr>
            <w:tcW w:w="3266" w:type="pct"/>
            <w:tcBorders>
              <w:top w:val="nil"/>
              <w:left w:val="nil"/>
              <w:bottom w:val="nil"/>
              <w:right w:val="nil"/>
              <w:tl2br w:val="nil"/>
              <w:tr2bl w:val="nil"/>
            </w:tcBorders>
            <w:tcMar>
              <w:top w:w="0" w:type="dxa"/>
              <w:left w:w="108" w:type="dxa"/>
              <w:bottom w:w="0" w:type="dxa"/>
              <w:right w:w="108" w:type="dxa"/>
            </w:tcMar>
          </w:tcPr>
          <w:p w14:paraId="29BDAC78" w14:textId="77777777" w:rsidR="003313D9" w:rsidRPr="00FB71CD" w:rsidRDefault="003313D9" w:rsidP="00574C09">
            <w:pPr>
              <w:spacing w:before="120"/>
              <w:jc w:val="right"/>
              <w:rPr>
                <w:sz w:val="28"/>
                <w:szCs w:val="28"/>
              </w:rPr>
            </w:pPr>
            <w:r w:rsidRPr="00FB71CD">
              <w:rPr>
                <w:i/>
                <w:iCs/>
                <w:sz w:val="28"/>
                <w:szCs w:val="28"/>
              </w:rPr>
              <w:t>Điện Biên, ngày     tháng    năm 2026</w:t>
            </w:r>
          </w:p>
        </w:tc>
      </w:tr>
    </w:tbl>
    <w:p w14:paraId="28C318EC" w14:textId="77777777" w:rsidR="003313D9" w:rsidRPr="00FB71CD" w:rsidRDefault="003313D9" w:rsidP="00DD4472">
      <w:pPr>
        <w:spacing w:before="120" w:after="100" w:afterAutospacing="1"/>
        <w:rPr>
          <w:sz w:val="28"/>
          <w:szCs w:val="28"/>
        </w:rPr>
      </w:pPr>
      <w:r w:rsidRPr="00FB71CD">
        <w:rPr>
          <w:color w:val="000000"/>
          <w:sz w:val="28"/>
          <w:szCs w:val="28"/>
        </w:rPr>
        <w:t> </w:t>
      </w:r>
    </w:p>
    <w:p w14:paraId="5F9FEA54" w14:textId="71E844FF" w:rsidR="003313D9" w:rsidRPr="00FB71CD" w:rsidRDefault="003313D9" w:rsidP="003313D9">
      <w:pPr>
        <w:jc w:val="center"/>
        <w:rPr>
          <w:sz w:val="28"/>
          <w:szCs w:val="28"/>
        </w:rPr>
      </w:pPr>
      <w:r w:rsidRPr="00FB71CD">
        <w:rPr>
          <w:b/>
          <w:bCs/>
          <w:color w:val="000000"/>
          <w:sz w:val="28"/>
          <w:szCs w:val="28"/>
        </w:rPr>
        <w:t>TỜ TRÌNH</w:t>
      </w:r>
    </w:p>
    <w:p w14:paraId="3E04E471" w14:textId="77777777" w:rsidR="003313D9" w:rsidRPr="00FB71CD" w:rsidRDefault="003313D9" w:rsidP="003313D9">
      <w:pPr>
        <w:jc w:val="center"/>
        <w:rPr>
          <w:b/>
          <w:bCs/>
          <w:color w:val="000000"/>
          <w:sz w:val="28"/>
          <w:szCs w:val="28"/>
        </w:rPr>
      </w:pPr>
      <w:r w:rsidRPr="00FB71CD">
        <w:rPr>
          <w:b/>
          <w:bCs/>
          <w:color w:val="000000"/>
          <w:sz w:val="28"/>
          <w:szCs w:val="28"/>
        </w:rPr>
        <w:t>Dự thảo Nghị quyết của Hội đồng nhân dân tỉnh</w:t>
      </w:r>
    </w:p>
    <w:p w14:paraId="4793C267" w14:textId="10F3ED8F" w:rsidR="00D466B1" w:rsidRPr="00FB71CD" w:rsidRDefault="003313D9" w:rsidP="003313D9">
      <w:pPr>
        <w:jc w:val="center"/>
        <w:rPr>
          <w:b/>
          <w:bCs/>
          <w:color w:val="000000"/>
          <w:sz w:val="28"/>
          <w:szCs w:val="28"/>
        </w:rPr>
      </w:pPr>
      <w:r w:rsidRPr="00FB71CD">
        <w:rPr>
          <w:b/>
          <w:bCs/>
          <w:noProof/>
          <w:color w:val="000000"/>
          <w:sz w:val="28"/>
          <w:szCs w:val="28"/>
          <w14:ligatures w14:val="standardContextual"/>
        </w:rPr>
        <mc:AlternateContent>
          <mc:Choice Requires="wps">
            <w:drawing>
              <wp:anchor distT="0" distB="0" distL="114300" distR="114300" simplePos="0" relativeHeight="251661312" behindDoc="0" locked="0" layoutInCell="1" allowOverlap="1" wp14:anchorId="78ED4656" wp14:editId="14CF0A40">
                <wp:simplePos x="0" y="0"/>
                <wp:positionH relativeFrom="column">
                  <wp:posOffset>2185416</wp:posOffset>
                </wp:positionH>
                <wp:positionV relativeFrom="paragraph">
                  <wp:posOffset>466598</wp:posOffset>
                </wp:positionV>
                <wp:extent cx="1828800" cy="0"/>
                <wp:effectExtent l="0" t="0" r="0" b="0"/>
                <wp:wrapNone/>
                <wp:docPr id="1615570086"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AF136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1pt,36.75pt" to="316.1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" strokecolor="black [3200]" strokeweight=".5pt">
                <v:stroke joinstyle="miter"/>
              </v:line>
            </w:pict>
          </mc:Fallback>
        </mc:AlternateContent>
      </w:r>
      <w:r w:rsidRPr="00FB71CD">
        <w:rPr>
          <w:b/>
          <w:bCs/>
          <w:color w:val="000000"/>
          <w:sz w:val="28"/>
          <w:szCs w:val="28"/>
        </w:rPr>
        <w:t>ban hành Quy định mức chi cho công tác đào tạo, bồi dưỡng công chức, viên chức trên địa bàn tỉnh Điện Biên</w:t>
      </w:r>
    </w:p>
    <w:p w14:paraId="699B7CD1" w14:textId="77777777" w:rsidR="003313D9" w:rsidRPr="00FB71CD" w:rsidRDefault="003313D9" w:rsidP="003313D9">
      <w:pPr>
        <w:jc w:val="center"/>
        <w:rPr>
          <w:b/>
          <w:bCs/>
          <w:color w:val="000000"/>
          <w:sz w:val="28"/>
          <w:szCs w:val="28"/>
        </w:rPr>
      </w:pPr>
    </w:p>
    <w:p w14:paraId="4434F4FC" w14:textId="77777777" w:rsidR="003313D9" w:rsidRPr="00FB71CD" w:rsidRDefault="003313D9" w:rsidP="003313D9">
      <w:pPr>
        <w:jc w:val="center"/>
        <w:rPr>
          <w:b/>
          <w:bCs/>
          <w:color w:val="000000"/>
          <w:sz w:val="28"/>
          <w:szCs w:val="28"/>
        </w:rPr>
      </w:pPr>
    </w:p>
    <w:p w14:paraId="315EE652" w14:textId="4811F650" w:rsidR="003313D9" w:rsidRPr="00FB71CD" w:rsidRDefault="003313D9" w:rsidP="003313D9">
      <w:pPr>
        <w:jc w:val="center"/>
        <w:rPr>
          <w:color w:val="000000"/>
          <w:sz w:val="28"/>
          <w:szCs w:val="28"/>
        </w:rPr>
      </w:pPr>
      <w:r w:rsidRPr="00FB71CD">
        <w:rPr>
          <w:color w:val="000000"/>
          <w:sz w:val="28"/>
          <w:szCs w:val="28"/>
        </w:rPr>
        <w:t>Kính gửi: Hội đồng nhân dân tỉnh Điện Biên</w:t>
      </w:r>
    </w:p>
    <w:p w14:paraId="0469A256" w14:textId="77777777" w:rsidR="003313D9" w:rsidRPr="00FB71CD" w:rsidRDefault="003313D9" w:rsidP="003313D9">
      <w:pPr>
        <w:jc w:val="center"/>
        <w:rPr>
          <w:color w:val="000000"/>
          <w:sz w:val="28"/>
          <w:szCs w:val="28"/>
        </w:rPr>
      </w:pPr>
    </w:p>
    <w:p w14:paraId="129B0500" w14:textId="69B93134" w:rsidR="003313D9" w:rsidRPr="00FB71CD" w:rsidRDefault="003313D9" w:rsidP="00B71B5D">
      <w:pPr>
        <w:spacing w:before="120" w:after="120"/>
        <w:ind w:firstLine="720"/>
        <w:jc w:val="both"/>
        <w:rPr>
          <w:color w:val="000000"/>
          <w:sz w:val="28"/>
          <w:szCs w:val="28"/>
        </w:rPr>
      </w:pPr>
      <w:r w:rsidRPr="00FB71CD">
        <w:rPr>
          <w:color w:val="000000"/>
          <w:sz w:val="28"/>
          <w:szCs w:val="28"/>
        </w:rPr>
        <w:t xml:space="preserve">Thực hiện quy định của Luật Ban hành văn bản quy phạm pháp luật </w:t>
      </w:r>
      <w:r w:rsidR="00422607" w:rsidRPr="00422607">
        <w:rPr>
          <w:iCs/>
          <w:color w:val="000000" w:themeColor="text1"/>
          <w:sz w:val="28"/>
          <w:szCs w:val="28"/>
          <w:lang w:val="vi-VN"/>
        </w:rPr>
        <w:t>số 64/2025/QH15 được sửa đổi, bổ sung một số điều bởi Luật số 87/2025/QH15</w:t>
      </w:r>
      <w:r w:rsidRPr="00422607">
        <w:rPr>
          <w:iCs/>
          <w:color w:val="000000"/>
          <w:sz w:val="28"/>
          <w:szCs w:val="28"/>
        </w:rPr>
        <w:t xml:space="preserve">; </w:t>
      </w:r>
      <w:r w:rsidRPr="00FB71CD">
        <w:rPr>
          <w:color w:val="000000"/>
          <w:sz w:val="28"/>
          <w:szCs w:val="28"/>
        </w:rPr>
        <w:t>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ngày 01/7/2025 sửa đổi, bổ sung một số điều của Nghị định số</w:t>
      </w:r>
      <w:r w:rsidR="00F73823">
        <w:rPr>
          <w:color w:val="000000"/>
          <w:sz w:val="28"/>
          <w:szCs w:val="28"/>
        </w:rPr>
        <w:t xml:space="preserve"> </w:t>
      </w:r>
      <w:r w:rsidRPr="00FB71CD">
        <w:rPr>
          <w:color w:val="000000"/>
          <w:sz w:val="28"/>
          <w:szCs w:val="28"/>
        </w:rPr>
        <w:t xml:space="preserve">78/2025/NĐ-CP ngày 01/4/2025 của Chính phủ quy định chi tiết một số điều và biện pháp để tổ chức, hướng dẫn thi hành Luật Ban hành văn bản quy phạm pháp luật; trên cơ sở đề nghị của Sở Nội vụ tại Tờ trình số         /TTr-SNV ngày                  , Ủy ban nhân dân tỉnh trình Hội đồng nhân dân tỉnh </w:t>
      </w:r>
      <w:r w:rsidR="00C74C91">
        <w:rPr>
          <w:color w:val="000000"/>
          <w:sz w:val="28"/>
          <w:szCs w:val="28"/>
        </w:rPr>
        <w:t xml:space="preserve">dự thảo </w:t>
      </w:r>
      <w:r w:rsidRPr="00FB71CD">
        <w:rPr>
          <w:color w:val="000000"/>
          <w:sz w:val="28"/>
          <w:szCs w:val="28"/>
        </w:rPr>
        <w:t>Nghị quyết của Hội đồng nhân dân tỉnh ban hành Quy định mức chi cho công tác đào tạo, bồi dưỡng công chức, viên chức trên địa bàn tỉnh Điện Biên</w:t>
      </w:r>
      <w:r w:rsidR="007E75CC">
        <w:rPr>
          <w:color w:val="000000"/>
          <w:sz w:val="28"/>
          <w:szCs w:val="28"/>
        </w:rPr>
        <w:t xml:space="preserve"> (</w:t>
      </w:r>
      <w:r w:rsidR="007E75CC">
        <w:rPr>
          <w:rFonts w:eastAsiaTheme="minorEastAsia"/>
          <w:color w:val="000000"/>
          <w:kern w:val="2"/>
          <w:sz w:val="28"/>
          <w:szCs w:val="28"/>
          <w14:ligatures w14:val="standardContextual"/>
        </w:rPr>
        <w:t>Dự thảo</w:t>
      </w:r>
      <w:r w:rsidR="007E75CC" w:rsidRPr="00FB71CD">
        <w:rPr>
          <w:rFonts w:eastAsiaTheme="minorEastAsia"/>
          <w:color w:val="000000"/>
          <w:kern w:val="2"/>
          <w:sz w:val="28"/>
          <w:szCs w:val="28"/>
          <w14:ligatures w14:val="standardContextual"/>
        </w:rPr>
        <w:t xml:space="preserve"> Nghị quyết</w:t>
      </w:r>
      <w:r w:rsidR="007E75CC">
        <w:rPr>
          <w:rFonts w:eastAsiaTheme="minorEastAsia"/>
          <w:color w:val="000000"/>
          <w:kern w:val="2"/>
          <w:sz w:val="28"/>
          <w:szCs w:val="28"/>
          <w14:ligatures w14:val="standardContextual"/>
        </w:rPr>
        <w:t>)</w:t>
      </w:r>
      <w:r w:rsidRPr="00FB71CD">
        <w:rPr>
          <w:color w:val="000000"/>
          <w:sz w:val="28"/>
          <w:szCs w:val="28"/>
        </w:rPr>
        <w:t>, với những nội dung cụ thể như sau:</w:t>
      </w:r>
    </w:p>
    <w:p w14:paraId="0AD06464" w14:textId="77777777" w:rsidR="003313D9" w:rsidRPr="00FB71CD" w:rsidRDefault="003313D9" w:rsidP="00B71B5D">
      <w:pPr>
        <w:widowControl w:val="0"/>
        <w:autoSpaceDE w:val="0"/>
        <w:autoSpaceDN w:val="0"/>
        <w:spacing w:before="120" w:after="120"/>
        <w:ind w:firstLine="720"/>
        <w:jc w:val="both"/>
        <w:rPr>
          <w:rFonts w:eastAsiaTheme="minorEastAsia"/>
          <w:b/>
          <w:color w:val="000000"/>
          <w:kern w:val="2"/>
          <w:sz w:val="28"/>
          <w:szCs w:val="28"/>
          <w14:ligatures w14:val="standardContextual"/>
        </w:rPr>
      </w:pPr>
      <w:r w:rsidRPr="00FB71CD">
        <w:rPr>
          <w:rFonts w:eastAsiaTheme="minorEastAsia"/>
          <w:b/>
          <w:color w:val="000000"/>
          <w:spacing w:val="1"/>
          <w:kern w:val="2"/>
          <w:sz w:val="28"/>
          <w:szCs w:val="28"/>
          <w14:ligatures w14:val="standardContextual"/>
        </w:rPr>
        <w:t>I.</w:t>
      </w:r>
      <w:r w:rsidRPr="00FB71CD">
        <w:rPr>
          <w:rFonts w:eastAsiaTheme="minorEastAsia"/>
          <w:b/>
          <w:color w:val="000000"/>
          <w:spacing w:val="-2"/>
          <w:kern w:val="2"/>
          <w:sz w:val="28"/>
          <w:szCs w:val="28"/>
          <w14:ligatures w14:val="standardContextual"/>
        </w:rPr>
        <w:t xml:space="preserve"> </w:t>
      </w:r>
      <w:r w:rsidRPr="00FB71CD">
        <w:rPr>
          <w:rFonts w:eastAsiaTheme="minorEastAsia"/>
          <w:b/>
          <w:color w:val="000000"/>
          <w:spacing w:val="1"/>
          <w:kern w:val="2"/>
          <w:sz w:val="28"/>
          <w:szCs w:val="28"/>
          <w14:ligatures w14:val="standardContextual"/>
        </w:rPr>
        <w:t>S</w:t>
      </w:r>
      <w:r w:rsidRPr="00FB71CD">
        <w:rPr>
          <w:rFonts w:eastAsiaTheme="minorEastAsia"/>
          <w:b/>
          <w:color w:val="000000"/>
          <w:kern w:val="2"/>
          <w:sz w:val="28"/>
          <w:szCs w:val="28"/>
          <w14:ligatures w14:val="standardContextual"/>
        </w:rPr>
        <w:t xml:space="preserve">Ự </w:t>
      </w:r>
      <w:r w:rsidRPr="00FB71CD">
        <w:rPr>
          <w:rFonts w:eastAsiaTheme="minorEastAsia"/>
          <w:b/>
          <w:color w:val="000000"/>
          <w:spacing w:val="-1"/>
          <w:kern w:val="2"/>
          <w:sz w:val="28"/>
          <w:szCs w:val="28"/>
          <w14:ligatures w14:val="standardContextual"/>
        </w:rPr>
        <w:t>C</w:t>
      </w:r>
      <w:r w:rsidRPr="00FB71CD">
        <w:rPr>
          <w:rFonts w:eastAsiaTheme="minorEastAsia"/>
          <w:b/>
          <w:color w:val="000000"/>
          <w:kern w:val="2"/>
          <w:sz w:val="28"/>
          <w:szCs w:val="28"/>
          <w14:ligatures w14:val="standardContextual"/>
        </w:rPr>
        <w:t xml:space="preserve">ẦN </w:t>
      </w:r>
      <w:r w:rsidRPr="00FB71CD">
        <w:rPr>
          <w:rFonts w:eastAsiaTheme="minorEastAsia"/>
          <w:b/>
          <w:color w:val="000000"/>
          <w:spacing w:val="1"/>
          <w:kern w:val="2"/>
          <w:sz w:val="28"/>
          <w:szCs w:val="28"/>
          <w14:ligatures w14:val="standardContextual"/>
        </w:rPr>
        <w:t>THI</w:t>
      </w:r>
      <w:r w:rsidRPr="00FB71CD">
        <w:rPr>
          <w:rFonts w:eastAsiaTheme="minorEastAsia"/>
          <w:b/>
          <w:color w:val="000000"/>
          <w:kern w:val="2"/>
          <w:sz w:val="28"/>
          <w:szCs w:val="28"/>
          <w14:ligatures w14:val="standardContextual"/>
        </w:rPr>
        <w:t>ẾT</w:t>
      </w:r>
      <w:r w:rsidRPr="00FB71CD">
        <w:rPr>
          <w:rFonts w:eastAsiaTheme="minorEastAsia"/>
          <w:b/>
          <w:color w:val="000000"/>
          <w:spacing w:val="-2"/>
          <w:kern w:val="2"/>
          <w:sz w:val="28"/>
          <w:szCs w:val="28"/>
          <w14:ligatures w14:val="standardContextual"/>
        </w:rPr>
        <w:t xml:space="preserve"> </w:t>
      </w:r>
      <w:r w:rsidRPr="00FB71CD">
        <w:rPr>
          <w:rFonts w:eastAsiaTheme="minorEastAsia"/>
          <w:b/>
          <w:color w:val="000000"/>
          <w:kern w:val="2"/>
          <w:sz w:val="28"/>
          <w:szCs w:val="28"/>
          <w14:ligatures w14:val="standardContextual"/>
        </w:rPr>
        <w:t>BAN HÀNH</w:t>
      </w:r>
      <w:r w:rsidRPr="00FB71CD">
        <w:rPr>
          <w:rFonts w:eastAsiaTheme="minorEastAsia"/>
          <w:b/>
          <w:color w:val="000000"/>
          <w:spacing w:val="1"/>
          <w:kern w:val="2"/>
          <w:sz w:val="28"/>
          <w:szCs w:val="28"/>
          <w14:ligatures w14:val="standardContextual"/>
        </w:rPr>
        <w:t xml:space="preserve"> </w:t>
      </w:r>
      <w:r w:rsidRPr="00FB71CD">
        <w:rPr>
          <w:rFonts w:eastAsiaTheme="minorEastAsia"/>
          <w:b/>
          <w:color w:val="000000"/>
          <w:kern w:val="2"/>
          <w:sz w:val="28"/>
          <w:szCs w:val="28"/>
          <w14:ligatures w14:val="standardContextual"/>
        </w:rPr>
        <w:t>NGHỊ</w:t>
      </w:r>
      <w:r w:rsidRPr="00FB71CD">
        <w:rPr>
          <w:rFonts w:eastAsiaTheme="minorEastAsia"/>
          <w:b/>
          <w:color w:val="000000"/>
          <w:spacing w:val="1"/>
          <w:kern w:val="2"/>
          <w:sz w:val="28"/>
          <w:szCs w:val="28"/>
          <w14:ligatures w14:val="standardContextual"/>
        </w:rPr>
        <w:t xml:space="preserve"> </w:t>
      </w:r>
      <w:r w:rsidRPr="00FB71CD">
        <w:rPr>
          <w:rFonts w:eastAsiaTheme="minorEastAsia"/>
          <w:b/>
          <w:color w:val="000000"/>
          <w:kern w:val="2"/>
          <w:sz w:val="28"/>
          <w:szCs w:val="28"/>
          <w14:ligatures w14:val="standardContextual"/>
        </w:rPr>
        <w:t>QUYẾT</w:t>
      </w:r>
    </w:p>
    <w:p w14:paraId="458BB795" w14:textId="586A3E86" w:rsidR="003313D9" w:rsidRPr="00FB71CD" w:rsidRDefault="003313D9" w:rsidP="00B71B5D">
      <w:pPr>
        <w:widowControl w:val="0"/>
        <w:autoSpaceDE w:val="0"/>
        <w:autoSpaceDN w:val="0"/>
        <w:spacing w:before="120" w:after="120"/>
        <w:ind w:firstLine="720"/>
        <w:jc w:val="both"/>
        <w:rPr>
          <w:rFonts w:eastAsiaTheme="minorEastAsia"/>
          <w:b/>
          <w:color w:val="000000"/>
          <w:kern w:val="2"/>
          <w:sz w:val="28"/>
          <w:szCs w:val="28"/>
          <w14:ligatures w14:val="standardContextual"/>
        </w:rPr>
      </w:pPr>
      <w:r w:rsidRPr="00FB71CD">
        <w:rPr>
          <w:rFonts w:eastAsiaTheme="minorEastAsia"/>
          <w:b/>
          <w:color w:val="000000"/>
          <w:kern w:val="2"/>
          <w:sz w:val="28"/>
          <w:szCs w:val="28"/>
          <w14:ligatures w14:val="standardContextual"/>
        </w:rPr>
        <w:t>1. Cơ sở pháp lý</w:t>
      </w:r>
    </w:p>
    <w:p w14:paraId="7994F5D2" w14:textId="4E07AF1C" w:rsidR="003F314E" w:rsidRPr="00FB71CD" w:rsidRDefault="00A55598" w:rsidP="00B71B5D">
      <w:pPr>
        <w:widowControl w:val="0"/>
        <w:autoSpaceDE w:val="0"/>
        <w:autoSpaceDN w:val="0"/>
        <w:spacing w:before="120" w:after="120"/>
        <w:ind w:firstLine="720"/>
        <w:jc w:val="both"/>
        <w:rPr>
          <w:rFonts w:eastAsiaTheme="minorEastAsia"/>
          <w:bCs/>
          <w:color w:val="000000"/>
          <w:kern w:val="2"/>
          <w:sz w:val="28"/>
          <w:szCs w:val="28"/>
          <w14:ligatures w14:val="standardContextual"/>
        </w:rPr>
      </w:pPr>
      <w:r>
        <w:rPr>
          <w:rFonts w:eastAsiaTheme="minorEastAsia"/>
          <w:bCs/>
          <w:color w:val="000000"/>
          <w:kern w:val="2"/>
          <w:sz w:val="28"/>
          <w:szCs w:val="28"/>
          <w14:ligatures w14:val="standardContextual"/>
        </w:rPr>
        <w:t xml:space="preserve">- </w:t>
      </w:r>
      <w:r w:rsidR="003313D9" w:rsidRPr="00FB71CD">
        <w:rPr>
          <w:rFonts w:eastAsiaTheme="minorEastAsia"/>
          <w:bCs/>
          <w:color w:val="000000"/>
          <w:kern w:val="2"/>
          <w:sz w:val="28"/>
          <w:szCs w:val="28"/>
          <w14:ligatures w14:val="standardContextual"/>
        </w:rPr>
        <w:t>Căn cứ Thông tư số 100/2025/TT-BTC ngày 28/10/2025 của Bộ trưởng Bộ Tài chính hướng dẫn việc lập dự toán, quản lý, sử dụng và quyết toán kinh phí dành cho công tác đào tạo, bội dưỡng công chức, viên chức</w:t>
      </w:r>
      <w:r w:rsidR="006A64AD" w:rsidRPr="00FB71CD">
        <w:rPr>
          <w:rFonts w:eastAsiaTheme="minorEastAsia"/>
          <w:bCs/>
          <w:color w:val="000000"/>
          <w:kern w:val="2"/>
          <w:sz w:val="28"/>
          <w:szCs w:val="28"/>
          <w14:ligatures w14:val="standardContextual"/>
        </w:rPr>
        <w:t>. Theo đó, tại khoản 3 Điều 8 Thông tư số 100/2025/TT-BTC quy định:</w:t>
      </w:r>
    </w:p>
    <w:p w14:paraId="7867CF4B" w14:textId="209EF5C5" w:rsidR="003313D9" w:rsidRPr="002E20A5" w:rsidRDefault="006A64AD" w:rsidP="00B71B5D">
      <w:pPr>
        <w:spacing w:before="120" w:after="120"/>
        <w:ind w:firstLine="720"/>
        <w:jc w:val="both"/>
        <w:rPr>
          <w:i/>
          <w:sz w:val="28"/>
          <w:szCs w:val="28"/>
        </w:rPr>
      </w:pPr>
      <w:r w:rsidRPr="00FB71CD">
        <w:rPr>
          <w:rFonts w:eastAsiaTheme="minorEastAsia"/>
          <w:bCs/>
          <w:color w:val="000000"/>
          <w:kern w:val="2"/>
          <w:sz w:val="28"/>
          <w:szCs w:val="28"/>
          <w14:ligatures w14:val="standardContextual"/>
        </w:rPr>
        <w:t xml:space="preserve"> </w:t>
      </w:r>
      <w:r w:rsidR="003F314E" w:rsidRPr="00FB71CD">
        <w:rPr>
          <w:i/>
          <w:sz w:val="28"/>
          <w:szCs w:val="28"/>
          <w:lang w:val="vi-VN"/>
        </w:rPr>
        <w:t>“</w:t>
      </w:r>
      <w:r w:rsidR="003F314E" w:rsidRPr="00FB71CD">
        <w:rPr>
          <w:i/>
          <w:sz w:val="28"/>
          <w:szCs w:val="28"/>
          <w:lang w:val="en"/>
        </w:rPr>
        <w:t>3. Các m</w:t>
      </w:r>
      <w:r w:rsidR="003F314E" w:rsidRPr="00FB71CD">
        <w:rPr>
          <w:i/>
          <w:sz w:val="28"/>
          <w:szCs w:val="28"/>
        </w:rPr>
        <w:t xml:space="preserve">ức chi quy định tại Thông tư này là mức chi làm căn cứ để các Bộ, cơ quan trung ương, địa phương lập dự toán chi cho công tác đào tạo, bồi dưỡng. Bộ trưởng, thủ trưởng cơ quan Trung ương chủ động quy định mức chi cụ thể từ nguồn ngân sách nhà nước cho phù hợp và đảm bảo đúng quy định của pháp luật về ngân sách nhà nước để thực hiện ở đơn vị trong phạm vi dự toán chi ngân sách đã được cấp có thẩm quyền giao. Căn cứ tình hình thực tế tại địa phương và khả năng cân đối ngân sách địa phương, Ủy ban nhân dân tỉnh, thành phố chủ động trình Hội </w:t>
      </w:r>
      <w:r w:rsidR="003F314E" w:rsidRPr="00FB71CD">
        <w:rPr>
          <w:i/>
          <w:sz w:val="28"/>
          <w:szCs w:val="28"/>
        </w:rPr>
        <w:lastRenderedPageBreak/>
        <w:t>đồng nhân dân cùng cấp quyết định mức chi cụ thể cho phù hợp để thực hiện ở địa phương.</w:t>
      </w:r>
      <w:r w:rsidR="003F314E" w:rsidRPr="00FB71CD">
        <w:rPr>
          <w:i/>
          <w:sz w:val="28"/>
          <w:szCs w:val="28"/>
          <w:lang w:val="vi-VN"/>
        </w:rPr>
        <w:t xml:space="preserve">”. </w:t>
      </w:r>
    </w:p>
    <w:p w14:paraId="1B45C787" w14:textId="788FCFC7" w:rsidR="003313D9" w:rsidRPr="00FB71CD" w:rsidRDefault="00A55598" w:rsidP="00B71B5D">
      <w:pPr>
        <w:spacing w:before="120" w:after="120"/>
        <w:ind w:firstLine="720"/>
        <w:jc w:val="both"/>
        <w:rPr>
          <w:rFonts w:eastAsiaTheme="minorEastAsia"/>
          <w:color w:val="000000"/>
          <w:kern w:val="2"/>
          <w:sz w:val="28"/>
          <w:szCs w:val="28"/>
          <w14:ligatures w14:val="standardContextual"/>
        </w:rPr>
      </w:pPr>
      <w:r>
        <w:rPr>
          <w:rFonts w:eastAsiaTheme="minorEastAsia"/>
          <w:color w:val="000000"/>
          <w:kern w:val="2"/>
          <w:sz w:val="28"/>
          <w:szCs w:val="28"/>
          <w14:ligatures w14:val="standardContextual"/>
        </w:rPr>
        <w:t xml:space="preserve">- </w:t>
      </w:r>
      <w:r w:rsidR="006A64AD" w:rsidRPr="00FB71CD">
        <w:rPr>
          <w:rFonts w:eastAsiaTheme="minorEastAsia"/>
          <w:color w:val="000000"/>
          <w:kern w:val="2"/>
          <w:sz w:val="28"/>
          <w:szCs w:val="28"/>
          <w14:ligatures w14:val="standardContextual"/>
        </w:rPr>
        <w:t>Căn cứ điểm g, h khoản 9 Điều 3</w:t>
      </w:r>
      <w:r w:rsidR="0097721F">
        <w:rPr>
          <w:rFonts w:eastAsiaTheme="minorEastAsia"/>
          <w:color w:val="000000"/>
          <w:kern w:val="2"/>
          <w:sz w:val="28"/>
          <w:szCs w:val="28"/>
          <w14:ligatures w14:val="standardContextual"/>
        </w:rPr>
        <w:t xml:space="preserve">1 </w:t>
      </w:r>
      <w:r w:rsidR="006A64AD" w:rsidRPr="00FB71CD">
        <w:rPr>
          <w:rFonts w:eastAsiaTheme="minorEastAsia"/>
          <w:color w:val="000000"/>
          <w:kern w:val="2"/>
          <w:sz w:val="28"/>
          <w:szCs w:val="28"/>
          <w14:ligatures w14:val="standardContextual"/>
        </w:rPr>
        <w:t>Luật Ngân sách nhà nước số 83/2015/QH13 quy định nhiệm vụ, quyền hạn của HĐND cấp tỉnh:</w:t>
      </w:r>
    </w:p>
    <w:p w14:paraId="5F23D271" w14:textId="7BD8AC8D" w:rsidR="006A64AD" w:rsidRPr="00FB71CD" w:rsidRDefault="006A64AD" w:rsidP="00B71B5D">
      <w:pPr>
        <w:spacing w:before="120" w:after="120"/>
        <w:ind w:firstLine="720"/>
        <w:jc w:val="both"/>
        <w:rPr>
          <w:rFonts w:eastAsiaTheme="minorEastAsia"/>
          <w:i/>
          <w:iCs/>
          <w:color w:val="000000"/>
          <w:kern w:val="2"/>
          <w:sz w:val="28"/>
          <w:szCs w:val="28"/>
          <w14:ligatures w14:val="standardContextual"/>
        </w:rPr>
      </w:pPr>
      <w:r w:rsidRPr="00FB71CD">
        <w:rPr>
          <w:rFonts w:eastAsiaTheme="minorEastAsia"/>
          <w:color w:val="000000"/>
          <w:kern w:val="2"/>
          <w:sz w:val="28"/>
          <w:szCs w:val="28"/>
          <w14:ligatures w14:val="standardContextual"/>
        </w:rPr>
        <w:t>“</w:t>
      </w:r>
      <w:r w:rsidRPr="00FB71CD">
        <w:rPr>
          <w:rFonts w:eastAsiaTheme="minorEastAsia"/>
          <w:i/>
          <w:iCs/>
          <w:color w:val="000000"/>
          <w:kern w:val="2"/>
          <w:sz w:val="28"/>
          <w:szCs w:val="28"/>
          <w14:ligatures w14:val="standardContextual"/>
        </w:rPr>
        <w:t>g) Quyết định cụ thể đối với một số chế độ, tiêu chuẩn, định mức chi ngân sách theo quy định khung của Chính phủ”;</w:t>
      </w:r>
    </w:p>
    <w:p w14:paraId="0C39F651" w14:textId="5BE0429D" w:rsidR="006A64AD" w:rsidRPr="00FB71CD" w:rsidRDefault="006A64AD" w:rsidP="00B71B5D">
      <w:pPr>
        <w:spacing w:before="120" w:after="120"/>
        <w:ind w:firstLine="720"/>
        <w:jc w:val="both"/>
        <w:rPr>
          <w:rFonts w:eastAsiaTheme="minorEastAsia"/>
          <w:i/>
          <w:iCs/>
          <w:color w:val="000000"/>
          <w:kern w:val="2"/>
          <w:sz w:val="28"/>
          <w:szCs w:val="28"/>
          <w14:ligatures w14:val="standardContextual"/>
        </w:rPr>
      </w:pPr>
      <w:r w:rsidRPr="00FB71CD">
        <w:rPr>
          <w:rFonts w:eastAsiaTheme="minorEastAsia"/>
          <w:i/>
          <w:iCs/>
          <w:color w:val="000000"/>
          <w:kern w:val="2"/>
          <w:sz w:val="28"/>
          <w:szCs w:val="28"/>
          <w14:ligatures w14:val="standardContextual"/>
        </w:rPr>
        <w:t>“h) 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phát triển kinh tế - xã hội, bảo đảm trật tự, an toàn xã hội trên địa bàn, phù hợp với khả năng cân đối của ngân sách địa phương”.</w:t>
      </w:r>
    </w:p>
    <w:p w14:paraId="6422BDF1" w14:textId="5E2F658B" w:rsidR="006A64AD" w:rsidRPr="00FB71CD" w:rsidRDefault="006A64AD" w:rsidP="00B71B5D">
      <w:pPr>
        <w:spacing w:before="120" w:after="120"/>
        <w:ind w:firstLine="720"/>
        <w:jc w:val="both"/>
        <w:rPr>
          <w:rFonts w:eastAsiaTheme="minorEastAsia"/>
          <w:b/>
          <w:bCs/>
          <w:color w:val="000000"/>
          <w:kern w:val="2"/>
          <w:sz w:val="28"/>
          <w:szCs w:val="28"/>
          <w14:ligatures w14:val="standardContextual"/>
        </w:rPr>
      </w:pPr>
      <w:r w:rsidRPr="00FB71CD">
        <w:rPr>
          <w:rFonts w:eastAsiaTheme="minorEastAsia"/>
          <w:b/>
          <w:bCs/>
          <w:color w:val="000000"/>
          <w:kern w:val="2"/>
          <w:sz w:val="28"/>
          <w:szCs w:val="28"/>
          <w14:ligatures w14:val="standardContextual"/>
        </w:rPr>
        <w:t>2. Cơ sở thực tiễn</w:t>
      </w:r>
    </w:p>
    <w:p w14:paraId="28BF92D3" w14:textId="5998DCEB" w:rsidR="006A64AD" w:rsidRPr="00FB71CD" w:rsidRDefault="00E97E4F" w:rsidP="00B71B5D">
      <w:pPr>
        <w:spacing w:before="120" w:after="120"/>
        <w:ind w:firstLine="720"/>
        <w:jc w:val="both"/>
        <w:rPr>
          <w:rFonts w:eastAsiaTheme="minorEastAsia"/>
          <w:color w:val="000000"/>
          <w:kern w:val="2"/>
          <w:sz w:val="28"/>
          <w:szCs w:val="28"/>
          <w14:ligatures w14:val="standardContextual"/>
        </w:rPr>
      </w:pPr>
      <w:r w:rsidRPr="000238D1">
        <w:rPr>
          <w:sz w:val="28"/>
          <w:szCs w:val="28"/>
        </w:rPr>
        <w:t xml:space="preserve">Hiện nay, mức chi đào tạo, bồi dưỡng cán bộ, công chức, viên chức trên địa bàn tỉnh </w:t>
      </w:r>
      <w:r>
        <w:rPr>
          <w:sz w:val="28"/>
          <w:szCs w:val="28"/>
        </w:rPr>
        <w:t xml:space="preserve">Điện Biên </w:t>
      </w:r>
      <w:r w:rsidRPr="000238D1">
        <w:rPr>
          <w:sz w:val="28"/>
          <w:szCs w:val="28"/>
        </w:rPr>
        <w:t xml:space="preserve">đang áp dụng theo quy định tại </w:t>
      </w:r>
      <w:r w:rsidR="00E21178" w:rsidRPr="00460AAF">
        <w:rPr>
          <w:sz w:val="28"/>
          <w:szCs w:val="28"/>
        </w:rPr>
        <w:t>Nghị quyết số 25/2020/NQ-HĐND ngày 15/7/2020 của Hội đồng nhân dân tỉnh Điện Biên ban hành Quy định mức chi cho công tác đào tạo, bồi dưỡng cán bộ, công chức, viên chức trên địa bàn tỉnh Điện Biên; Nghị quyết số 13/2022/NQ</w:t>
      </w:r>
      <w:r w:rsidR="008D74F5">
        <w:rPr>
          <w:sz w:val="28"/>
          <w:szCs w:val="28"/>
        </w:rPr>
        <w:t>-</w:t>
      </w:r>
      <w:r w:rsidR="00E21178" w:rsidRPr="00460AAF">
        <w:rPr>
          <w:sz w:val="28"/>
          <w:szCs w:val="28"/>
        </w:rPr>
        <w:t>HĐND ngày 08/7/2022 của Hội đồng nhân dân tỉnh Điện Biên sửa đổi, bổ sung Điều 3 của Quy định mức chi cho công tác đào tạo, bồi dưỡng cán bộ, công chức, viên chức trên địa bàn tỉnh Điện Biên ban hành kèm theo Nghị quyết số 25/2020/NQ-HĐND ngày 15/7/2020 của Hội đồng nhân dân tỉnh; Nghị quyết số 21/2024/NQ-HĐND ngày 10/12/2024 của Hội đồng nhân dân tỉnh Điện Biên sửa đổi, bổ sung một số điều của Quy định mức chi cho công tác đào tạo, bồi dưỡng cán bộ, công chức, viên chức trên địa bàn tỉnh Điện Biên ban hành kèm theo Nghị quyết số 25/2020/NQ-HĐND ngày 15/7/2020 của Hội đồng nhân dân tỉnh Điện Biên</w:t>
      </w:r>
      <w:r w:rsidR="006A64AD" w:rsidRPr="00FB71CD">
        <w:rPr>
          <w:rFonts w:eastAsiaTheme="minorEastAsia"/>
          <w:color w:val="000000"/>
          <w:kern w:val="2"/>
          <w:sz w:val="28"/>
          <w:szCs w:val="28"/>
          <w14:ligatures w14:val="standardContextual"/>
        </w:rPr>
        <w:t>.</w:t>
      </w:r>
    </w:p>
    <w:p w14:paraId="1D22A085" w14:textId="75C8D4C4" w:rsidR="006A64AD" w:rsidRPr="00AD7137" w:rsidRDefault="006A64AD" w:rsidP="00B71B5D">
      <w:pPr>
        <w:spacing w:before="120" w:after="120"/>
        <w:ind w:firstLine="720"/>
        <w:jc w:val="both"/>
        <w:rPr>
          <w:rFonts w:eastAsiaTheme="minorEastAsia"/>
          <w:color w:val="000000"/>
          <w:spacing w:val="-2"/>
          <w:kern w:val="2"/>
          <w:sz w:val="28"/>
          <w:szCs w:val="28"/>
          <w14:ligatures w14:val="standardContextual"/>
        </w:rPr>
      </w:pPr>
      <w:r w:rsidRPr="00AD7137">
        <w:rPr>
          <w:rFonts w:eastAsiaTheme="minorEastAsia"/>
          <w:spacing w:val="-2"/>
          <w:kern w:val="2"/>
          <w:sz w:val="28"/>
          <w:szCs w:val="28"/>
          <w14:ligatures w14:val="standardContextual"/>
        </w:rPr>
        <w:t>Qua rà soát cho thấy một số nội dung như: Đối tượng áp dụng; nội dung, mức chi không còn phù hợp với Thông tư số 100/2025/TT-BTC</w:t>
      </w:r>
      <w:r w:rsidR="00E97E4F" w:rsidRPr="00AD7137">
        <w:rPr>
          <w:rFonts w:eastAsiaTheme="minorEastAsia"/>
          <w:spacing w:val="-2"/>
          <w:kern w:val="2"/>
          <w:sz w:val="28"/>
          <w:szCs w:val="28"/>
          <w14:ligatures w14:val="standardContextual"/>
        </w:rPr>
        <w:t>, một số nội dung</w:t>
      </w:r>
      <w:r w:rsidR="00CD41D5" w:rsidRPr="00AD7137">
        <w:rPr>
          <w:rFonts w:eastAsiaTheme="minorEastAsia"/>
          <w:spacing w:val="-2"/>
          <w:kern w:val="2"/>
          <w:sz w:val="28"/>
          <w:szCs w:val="28"/>
          <w14:ligatures w14:val="standardContextual"/>
        </w:rPr>
        <w:t xml:space="preserve"> mới</w:t>
      </w:r>
      <w:r w:rsidR="00E97E4F" w:rsidRPr="00AD7137">
        <w:rPr>
          <w:rFonts w:eastAsiaTheme="minorEastAsia"/>
          <w:spacing w:val="-2"/>
          <w:kern w:val="2"/>
          <w:sz w:val="28"/>
          <w:szCs w:val="28"/>
          <w14:ligatures w14:val="standardContextual"/>
        </w:rPr>
        <w:t xml:space="preserve"> </w:t>
      </w:r>
      <w:r w:rsidR="00C74C91" w:rsidRPr="00AD7137">
        <w:rPr>
          <w:spacing w:val="-2"/>
          <w:sz w:val="28"/>
          <w:szCs w:val="28"/>
          <w:lang w:val="nl-NL"/>
        </w:rPr>
        <w:t>b</w:t>
      </w:r>
      <w:r w:rsidR="00E97E4F" w:rsidRPr="00AD7137">
        <w:rPr>
          <w:spacing w:val="-2"/>
          <w:sz w:val="28"/>
          <w:szCs w:val="28"/>
          <w:lang w:val="nl-NL"/>
        </w:rPr>
        <w:t>ổ sung và cho phép chi các khoản liên quan đến công nghệ số, hệ thống học trực tuyến, số hóa tài liệ</w:t>
      </w:r>
      <w:r w:rsidR="00BC2A1E" w:rsidRPr="00AD7137">
        <w:rPr>
          <w:spacing w:val="-2"/>
          <w:sz w:val="28"/>
          <w:szCs w:val="28"/>
          <w:lang w:val="nl-NL"/>
        </w:rPr>
        <w:t>u.</w:t>
      </w:r>
      <w:r w:rsidR="00E97E4F" w:rsidRPr="00AD7137">
        <w:rPr>
          <w:spacing w:val="-2"/>
          <w:sz w:val="28"/>
          <w:szCs w:val="28"/>
          <w:lang w:val="nl-NL"/>
        </w:rPr>
        <w:t xml:space="preserve"> Đ</w:t>
      </w:r>
      <w:r w:rsidR="00D55372" w:rsidRPr="00AD7137">
        <w:rPr>
          <w:spacing w:val="-2"/>
          <w:sz w:val="28"/>
          <w:szCs w:val="28"/>
          <w:lang w:val="nl-NL"/>
        </w:rPr>
        <w:t>ể phù hợp với các quy định hiện hành, tình hình thực tế, thuận tiện trong việc triển khai thực hiện, cần thiết phải ban hành Nghị quyết của HĐND tỉnh</w:t>
      </w:r>
      <w:r w:rsidR="00547A82" w:rsidRPr="00AD7137">
        <w:rPr>
          <w:spacing w:val="-2"/>
          <w:sz w:val="28"/>
          <w:szCs w:val="28"/>
          <w:lang w:val="nl-NL"/>
        </w:rPr>
        <w:t xml:space="preserve"> ban hành</w:t>
      </w:r>
      <w:r w:rsidR="00D55372" w:rsidRPr="00AD7137">
        <w:rPr>
          <w:spacing w:val="-2"/>
          <w:sz w:val="28"/>
          <w:szCs w:val="28"/>
          <w:lang w:val="nl-NL"/>
        </w:rPr>
        <w:t xml:space="preserve"> quy định mức chi đào tạo, bồi dưỡng công chức, viên chức trên địa bàn tỉnh.</w:t>
      </w:r>
    </w:p>
    <w:p w14:paraId="4286B130" w14:textId="040E295D" w:rsidR="006A64AD" w:rsidRPr="00FB71CD" w:rsidRDefault="001E3063" w:rsidP="00B71B5D">
      <w:pPr>
        <w:spacing w:before="120" w:after="120"/>
        <w:ind w:firstLine="720"/>
        <w:jc w:val="both"/>
        <w:rPr>
          <w:rFonts w:eastAsiaTheme="minorEastAsia"/>
          <w:b/>
          <w:bCs/>
          <w:color w:val="000000"/>
          <w:kern w:val="2"/>
          <w:sz w:val="28"/>
          <w:szCs w:val="28"/>
          <w14:ligatures w14:val="standardContextual"/>
        </w:rPr>
      </w:pPr>
      <w:r w:rsidRPr="00FB71CD">
        <w:rPr>
          <w:rFonts w:eastAsiaTheme="minorEastAsia"/>
          <w:b/>
          <w:bCs/>
          <w:color w:val="000000"/>
          <w:kern w:val="2"/>
          <w:sz w:val="28"/>
          <w:szCs w:val="28"/>
          <w14:ligatures w14:val="standardContextual"/>
        </w:rPr>
        <w:t>II. MỤC ĐÍCH BAN HÀNH, QUAN ĐIỂM XÂY DỰNG NGHỊ QUYẾT</w:t>
      </w:r>
    </w:p>
    <w:p w14:paraId="2342198A" w14:textId="29E002F3" w:rsidR="001E3063" w:rsidRPr="00FB71CD" w:rsidRDefault="001E3063" w:rsidP="00B71B5D">
      <w:pPr>
        <w:spacing w:before="120" w:after="120"/>
        <w:ind w:firstLine="720"/>
        <w:jc w:val="both"/>
        <w:rPr>
          <w:rFonts w:eastAsiaTheme="minorEastAsia"/>
          <w:b/>
          <w:bCs/>
          <w:color w:val="000000"/>
          <w:kern w:val="2"/>
          <w:sz w:val="28"/>
          <w:szCs w:val="28"/>
          <w14:ligatures w14:val="standardContextual"/>
        </w:rPr>
      </w:pPr>
      <w:r w:rsidRPr="00FB71CD">
        <w:rPr>
          <w:rFonts w:eastAsiaTheme="minorEastAsia"/>
          <w:b/>
          <w:bCs/>
          <w:color w:val="000000"/>
          <w:kern w:val="2"/>
          <w:sz w:val="28"/>
          <w:szCs w:val="28"/>
          <w14:ligatures w14:val="standardContextual"/>
        </w:rPr>
        <w:t>1. Mục đích ban hành Nghị quyết</w:t>
      </w:r>
    </w:p>
    <w:p w14:paraId="79093AAB" w14:textId="7072AB57" w:rsidR="004951A4" w:rsidRPr="004951A4" w:rsidRDefault="004951A4" w:rsidP="00B71B5D">
      <w:pPr>
        <w:spacing w:before="120" w:after="120"/>
        <w:ind w:firstLine="720"/>
        <w:jc w:val="both"/>
        <w:rPr>
          <w:sz w:val="28"/>
          <w:szCs w:val="28"/>
        </w:rPr>
      </w:pPr>
      <w:r w:rsidRPr="004951A4">
        <w:rPr>
          <w:sz w:val="28"/>
          <w:szCs w:val="28"/>
        </w:rPr>
        <w:t xml:space="preserve">Bảo đảm việc triển khai thực hiện đúng, đầy đủ </w:t>
      </w:r>
      <w:r w:rsidRPr="004951A4">
        <w:rPr>
          <w:iCs/>
          <w:sz w:val="28"/>
          <w:szCs w:val="28"/>
        </w:rPr>
        <w:t>Thông tư số 100/2025/TT-BTC ngày 28 tháng 10 năm 2025 của Bộ trưởng Bộ Tài chính</w:t>
      </w:r>
      <w:r w:rsidRPr="00FB71CD">
        <w:rPr>
          <w:sz w:val="28"/>
          <w:szCs w:val="28"/>
        </w:rPr>
        <w:t>,</w:t>
      </w:r>
      <w:r w:rsidRPr="004951A4">
        <w:rPr>
          <w:sz w:val="28"/>
          <w:szCs w:val="28"/>
        </w:rPr>
        <w:t xml:space="preserve"> </w:t>
      </w:r>
      <w:r w:rsidRPr="00FB71CD">
        <w:rPr>
          <w:sz w:val="28"/>
          <w:szCs w:val="28"/>
        </w:rPr>
        <w:t>l</w:t>
      </w:r>
      <w:r w:rsidRPr="004951A4">
        <w:rPr>
          <w:sz w:val="28"/>
          <w:szCs w:val="28"/>
        </w:rPr>
        <w:t xml:space="preserve">àm căn cứ để thực hiện </w:t>
      </w:r>
      <w:r w:rsidRPr="004951A4">
        <w:rPr>
          <w:iCs/>
          <w:sz w:val="28"/>
          <w:szCs w:val="28"/>
        </w:rPr>
        <w:t xml:space="preserve">công tác đào tạo, bồi dưỡng công chức, viên chức trên địa bàn tỉnh </w:t>
      </w:r>
      <w:r w:rsidRPr="00FB71CD">
        <w:rPr>
          <w:sz w:val="28"/>
          <w:szCs w:val="28"/>
        </w:rPr>
        <w:t>Điện Biên</w:t>
      </w:r>
      <w:r w:rsidRPr="004951A4">
        <w:rPr>
          <w:sz w:val="28"/>
          <w:szCs w:val="28"/>
        </w:rPr>
        <w:t>.</w:t>
      </w:r>
    </w:p>
    <w:p w14:paraId="721CBBD6" w14:textId="214A3477" w:rsidR="004951A4" w:rsidRPr="004951A4" w:rsidRDefault="004951A4" w:rsidP="00B71B5D">
      <w:pPr>
        <w:spacing w:before="120" w:after="120"/>
        <w:ind w:firstLine="720"/>
        <w:jc w:val="both"/>
        <w:rPr>
          <w:sz w:val="28"/>
          <w:szCs w:val="28"/>
        </w:rPr>
      </w:pPr>
      <w:r w:rsidRPr="004951A4">
        <w:rPr>
          <w:sz w:val="28"/>
          <w:szCs w:val="28"/>
        </w:rPr>
        <w:lastRenderedPageBreak/>
        <w:t xml:space="preserve">Kịp thời xử lý những nội dung tại văn bản quy phạm pháp luật có nội dung không còn phù hợp do thay đổi căn cứ ban hành trực tiếp và do sắp xếp tổ chức bộ máy nhà nước, qua đó hoàn thiện hệ thống văn bản quy phạm pháp luật của tỉnh đảm bảo, thống nhất và đồng bộ, tạo hành lang pháp lý thuận lợi trong tổ chức thực hiện các nhiệm vụ chi </w:t>
      </w:r>
      <w:r w:rsidRPr="00FB71CD">
        <w:rPr>
          <w:sz w:val="28"/>
          <w:szCs w:val="28"/>
        </w:rPr>
        <w:t>ngân sách địa phương</w:t>
      </w:r>
      <w:r w:rsidRPr="004951A4">
        <w:rPr>
          <w:sz w:val="28"/>
          <w:szCs w:val="28"/>
        </w:rPr>
        <w:t xml:space="preserve"> trên địa bàn tỉnh.</w:t>
      </w:r>
    </w:p>
    <w:p w14:paraId="5956E918" w14:textId="4AA80928" w:rsidR="004951A4" w:rsidRPr="00FB71CD" w:rsidRDefault="004951A4" w:rsidP="00B71B5D">
      <w:pPr>
        <w:spacing w:before="120" w:after="120"/>
        <w:ind w:firstLine="720"/>
        <w:jc w:val="both"/>
        <w:rPr>
          <w:sz w:val="28"/>
          <w:szCs w:val="28"/>
        </w:rPr>
      </w:pPr>
      <w:r w:rsidRPr="004951A4">
        <w:rPr>
          <w:sz w:val="28"/>
          <w:szCs w:val="28"/>
        </w:rPr>
        <w:t xml:space="preserve">Làm căn cứ để thực hiện lập dự toán, quản lý, sử dụng và quyết toán kinh phí thực hiện </w:t>
      </w:r>
      <w:r w:rsidRPr="004951A4">
        <w:rPr>
          <w:iCs/>
          <w:sz w:val="28"/>
          <w:szCs w:val="28"/>
        </w:rPr>
        <w:t>công tác đào tạo, bồi dưỡng công chức, viên chức trên địa bàn tỉnh</w:t>
      </w:r>
      <w:r w:rsidRPr="004951A4">
        <w:rPr>
          <w:sz w:val="28"/>
          <w:szCs w:val="28"/>
        </w:rPr>
        <w:t>.</w:t>
      </w:r>
    </w:p>
    <w:p w14:paraId="705784E6" w14:textId="6132D54C" w:rsidR="001E3063" w:rsidRPr="00FB71CD" w:rsidRDefault="001E3063" w:rsidP="00B71B5D">
      <w:pPr>
        <w:spacing w:before="120" w:after="120"/>
        <w:ind w:firstLine="720"/>
        <w:jc w:val="both"/>
        <w:rPr>
          <w:rFonts w:eastAsiaTheme="minorEastAsia"/>
          <w:b/>
          <w:bCs/>
          <w:color w:val="000000"/>
          <w:kern w:val="2"/>
          <w:sz w:val="28"/>
          <w:szCs w:val="28"/>
          <w14:ligatures w14:val="standardContextual"/>
        </w:rPr>
      </w:pPr>
      <w:r w:rsidRPr="00FB71CD">
        <w:rPr>
          <w:rFonts w:eastAsiaTheme="minorEastAsia"/>
          <w:b/>
          <w:bCs/>
          <w:color w:val="000000"/>
          <w:kern w:val="2"/>
          <w:sz w:val="28"/>
          <w:szCs w:val="28"/>
          <w14:ligatures w14:val="standardContextual"/>
        </w:rPr>
        <w:t>2. Quan điểm xây dựng Nghị quyết</w:t>
      </w:r>
    </w:p>
    <w:p w14:paraId="7F378224" w14:textId="4998A22E" w:rsidR="0064710E" w:rsidRPr="00FB71CD" w:rsidRDefault="0064710E" w:rsidP="00B71B5D">
      <w:pPr>
        <w:spacing w:before="120" w:after="120"/>
        <w:ind w:firstLine="720"/>
        <w:jc w:val="both"/>
        <w:rPr>
          <w:rFonts w:eastAsiaTheme="minorEastAsia"/>
          <w:color w:val="000000"/>
          <w:kern w:val="2"/>
          <w:sz w:val="28"/>
          <w:szCs w:val="28"/>
          <w14:ligatures w14:val="standardContextual"/>
        </w:rPr>
      </w:pPr>
      <w:r w:rsidRPr="00FB71CD">
        <w:rPr>
          <w:rFonts w:eastAsiaTheme="minorEastAsia"/>
          <w:color w:val="000000"/>
          <w:kern w:val="2"/>
          <w:sz w:val="28"/>
          <w:szCs w:val="28"/>
          <w14:ligatures w14:val="standardContextual"/>
        </w:rPr>
        <w:t>Đảm bảo các nguyên tắc xây dựng, ban hành văn bản quy phạm pháp luật theo quy định.</w:t>
      </w:r>
    </w:p>
    <w:p w14:paraId="365C6652" w14:textId="34387ED0" w:rsidR="0064710E" w:rsidRPr="00FB71CD" w:rsidRDefault="0064710E" w:rsidP="00B71B5D">
      <w:pPr>
        <w:spacing w:before="120" w:after="120"/>
        <w:ind w:firstLine="720"/>
        <w:jc w:val="both"/>
        <w:rPr>
          <w:rFonts w:eastAsiaTheme="minorEastAsia"/>
          <w:color w:val="000000"/>
          <w:kern w:val="2"/>
          <w:sz w:val="28"/>
          <w:szCs w:val="28"/>
          <w14:ligatures w14:val="standardContextual"/>
        </w:rPr>
      </w:pPr>
      <w:r w:rsidRPr="00FB71CD">
        <w:rPr>
          <w:rFonts w:eastAsiaTheme="minorEastAsia"/>
          <w:color w:val="000000"/>
          <w:kern w:val="2"/>
          <w:sz w:val="28"/>
          <w:szCs w:val="28"/>
          <w14:ligatures w14:val="standardContextual"/>
        </w:rPr>
        <w:t>Đảm bảo tính thống nhất trong hệ thống pháp luật nói chung và trong các quy định về văn bản quy phạm pháp luật ở địa phương nói riêng.</w:t>
      </w:r>
    </w:p>
    <w:p w14:paraId="3B83DB30" w14:textId="31A69446" w:rsidR="0064710E" w:rsidRPr="00FB71CD" w:rsidRDefault="0064710E" w:rsidP="00B71B5D">
      <w:pPr>
        <w:spacing w:before="120" w:after="120"/>
        <w:ind w:firstLine="720"/>
        <w:jc w:val="both"/>
        <w:rPr>
          <w:rFonts w:eastAsiaTheme="minorEastAsia"/>
          <w:color w:val="000000"/>
          <w:kern w:val="2"/>
          <w:sz w:val="28"/>
          <w:szCs w:val="28"/>
          <w14:ligatures w14:val="standardContextual"/>
        </w:rPr>
      </w:pPr>
      <w:r w:rsidRPr="00FB71CD">
        <w:rPr>
          <w:rFonts w:eastAsiaTheme="minorEastAsia"/>
          <w:color w:val="000000"/>
          <w:kern w:val="2"/>
          <w:sz w:val="28"/>
          <w:szCs w:val="28"/>
          <w14:ligatures w14:val="standardContextual"/>
        </w:rPr>
        <w:t>Đảm bảo tính kịp thời trong việc xử lý các tình huống thực tiễn, phục vụ nhiệm vụ đặc thù của địa phương trong quá trình sắp xếp đơn vị hành chính.</w:t>
      </w:r>
    </w:p>
    <w:p w14:paraId="3A53318B" w14:textId="77777777" w:rsidR="0064710E" w:rsidRPr="00FB71CD" w:rsidRDefault="0064710E" w:rsidP="00B71B5D">
      <w:pPr>
        <w:spacing w:before="120" w:after="120"/>
        <w:ind w:firstLine="720"/>
        <w:jc w:val="both"/>
        <w:rPr>
          <w:rFonts w:eastAsiaTheme="minorEastAsia"/>
          <w:b/>
          <w:bCs/>
          <w:color w:val="000000"/>
          <w:kern w:val="2"/>
          <w:sz w:val="28"/>
          <w:szCs w:val="28"/>
          <w14:ligatures w14:val="standardContextual"/>
        </w:rPr>
      </w:pPr>
      <w:r w:rsidRPr="00FB71CD">
        <w:rPr>
          <w:rFonts w:eastAsiaTheme="minorEastAsia"/>
          <w:b/>
          <w:bCs/>
          <w:color w:val="000000"/>
          <w:kern w:val="2"/>
          <w:sz w:val="28"/>
          <w:szCs w:val="28"/>
          <w14:ligatures w14:val="standardContextual"/>
        </w:rPr>
        <w:t>III. QUÁ TRÌNH XÂY DỰNG NGHỊ QUYẾT</w:t>
      </w:r>
    </w:p>
    <w:p w14:paraId="1CA639A8" w14:textId="2B74173A" w:rsidR="00E939AB" w:rsidRPr="00E939AB" w:rsidRDefault="00E939AB" w:rsidP="00B71B5D">
      <w:pPr>
        <w:spacing w:before="120" w:after="120"/>
        <w:ind w:firstLine="720"/>
        <w:jc w:val="both"/>
        <w:rPr>
          <w:sz w:val="28"/>
          <w:szCs w:val="28"/>
          <w:lang w:val="nl-NL"/>
        </w:rPr>
      </w:pPr>
      <w:r w:rsidRPr="00E939AB">
        <w:rPr>
          <w:sz w:val="28"/>
          <w:szCs w:val="28"/>
          <w:highlight w:val="white"/>
        </w:rPr>
        <w:t xml:space="preserve">Trên cơ sở ý kiến chấp thuận </w:t>
      </w:r>
      <w:r w:rsidRPr="00E939AB">
        <w:rPr>
          <w:sz w:val="28"/>
          <w:szCs w:val="28"/>
          <w:highlight w:val="white"/>
          <w:lang w:val="vi-VN"/>
        </w:rPr>
        <w:t xml:space="preserve">của Thường trực Hội đồng nhân dân tỉnh tại </w:t>
      </w:r>
      <w:r w:rsidRPr="00E939AB">
        <w:rPr>
          <w:sz w:val="28"/>
          <w:szCs w:val="28"/>
          <w:highlight w:val="white"/>
        </w:rPr>
        <w:t>công văn</w:t>
      </w:r>
      <w:r w:rsidRPr="00E939AB">
        <w:rPr>
          <w:sz w:val="28"/>
          <w:szCs w:val="28"/>
          <w:highlight w:val="white"/>
          <w:lang w:val="vi-VN"/>
        </w:rPr>
        <w:t xml:space="preserve"> </w:t>
      </w:r>
      <w:r w:rsidRPr="00E939AB">
        <w:rPr>
          <w:sz w:val="28"/>
          <w:szCs w:val="28"/>
          <w:lang w:val="vi-VN"/>
        </w:rPr>
        <w:t>số</w:t>
      </w:r>
      <w:r w:rsidRPr="00E939AB">
        <w:rPr>
          <w:sz w:val="28"/>
          <w:szCs w:val="28"/>
        </w:rPr>
        <w:t xml:space="preserve"> </w:t>
      </w:r>
      <w:r w:rsidR="00575EA8">
        <w:rPr>
          <w:sz w:val="28"/>
          <w:szCs w:val="28"/>
        </w:rPr>
        <w:t xml:space="preserve">73/TTHĐND-BPC </w:t>
      </w:r>
      <w:r w:rsidRPr="00E939AB">
        <w:rPr>
          <w:sz w:val="28"/>
          <w:szCs w:val="28"/>
          <w:lang w:val="vi-VN"/>
        </w:rPr>
        <w:t>ngày</w:t>
      </w:r>
      <w:r w:rsidR="00575EA8">
        <w:rPr>
          <w:sz w:val="28"/>
          <w:szCs w:val="28"/>
        </w:rPr>
        <w:t xml:space="preserve"> 14 </w:t>
      </w:r>
      <w:r w:rsidRPr="00E939AB">
        <w:rPr>
          <w:sz w:val="28"/>
          <w:szCs w:val="28"/>
          <w:lang w:val="vi-VN"/>
        </w:rPr>
        <w:t>tháng</w:t>
      </w:r>
      <w:r w:rsidR="00575EA8">
        <w:rPr>
          <w:sz w:val="28"/>
          <w:szCs w:val="28"/>
        </w:rPr>
        <w:t xml:space="preserve"> 3 </w:t>
      </w:r>
      <w:r w:rsidRPr="00E939AB">
        <w:rPr>
          <w:sz w:val="28"/>
          <w:szCs w:val="28"/>
          <w:lang w:val="vi-VN"/>
        </w:rPr>
        <w:t>năm 202</w:t>
      </w:r>
      <w:r>
        <w:rPr>
          <w:sz w:val="28"/>
          <w:szCs w:val="28"/>
        </w:rPr>
        <w:t>6</w:t>
      </w:r>
      <w:r w:rsidRPr="00E939AB">
        <w:rPr>
          <w:sz w:val="28"/>
          <w:szCs w:val="28"/>
        </w:rPr>
        <w:t xml:space="preserve"> về việc </w:t>
      </w:r>
      <w:r w:rsidR="00215AA8">
        <w:rPr>
          <w:sz w:val="28"/>
          <w:szCs w:val="28"/>
        </w:rPr>
        <w:t>quyết định danh mục Nghị quyết quy định nội dung được giao; chấp thuận đăng ký xây dựng Nghị quyết quy phạm pháp luật của HĐND tỉnh</w:t>
      </w:r>
      <w:r w:rsidRPr="00E939AB">
        <w:rPr>
          <w:sz w:val="28"/>
          <w:szCs w:val="28"/>
          <w:lang w:val="vi-VN"/>
        </w:rPr>
        <w:t xml:space="preserve">, Ủy ban nhân dân tỉnh đã giao Sở </w:t>
      </w:r>
      <w:r>
        <w:rPr>
          <w:sz w:val="28"/>
          <w:szCs w:val="28"/>
          <w:highlight w:val="white"/>
        </w:rPr>
        <w:t>Nội vụ</w:t>
      </w:r>
      <w:r w:rsidRPr="00E939AB">
        <w:rPr>
          <w:sz w:val="28"/>
          <w:szCs w:val="28"/>
          <w:highlight w:val="white"/>
          <w:lang w:val="vi-VN"/>
        </w:rPr>
        <w:t xml:space="preserve"> chủ trì, </w:t>
      </w:r>
      <w:r w:rsidRPr="00E939AB">
        <w:rPr>
          <w:sz w:val="28"/>
          <w:szCs w:val="28"/>
          <w:highlight w:val="white"/>
        </w:rPr>
        <w:t xml:space="preserve">phối hợp với các đơn vị có liên quan xây dựng Nghị quyết tại </w:t>
      </w:r>
      <w:r w:rsidR="00575EA8">
        <w:rPr>
          <w:sz w:val="28"/>
          <w:szCs w:val="28"/>
          <w:highlight w:val="white"/>
        </w:rPr>
        <w:t>Văn bản</w:t>
      </w:r>
      <w:r w:rsidRPr="00E939AB">
        <w:rPr>
          <w:sz w:val="28"/>
          <w:szCs w:val="28"/>
          <w:highlight w:val="white"/>
        </w:rPr>
        <w:t xml:space="preserve"> số</w:t>
      </w:r>
      <w:r w:rsidR="00707C4D">
        <w:rPr>
          <w:sz w:val="28"/>
          <w:szCs w:val="28"/>
          <w:highlight w:val="white"/>
        </w:rPr>
        <w:t xml:space="preserve"> 1981/UBND-NC ngày 19 tháng 3 năm 2026 về việc phân công xây dựng Nghị quyết quy phạm pháp luật của Hội đồng nhân dân tỉnh.</w:t>
      </w:r>
    </w:p>
    <w:p w14:paraId="2B348B91" w14:textId="2B32589B" w:rsidR="0059600C" w:rsidRPr="00FB71CD" w:rsidRDefault="00493A3F" w:rsidP="00B71B5D">
      <w:pPr>
        <w:spacing w:before="120" w:after="120"/>
        <w:ind w:firstLine="720"/>
        <w:jc w:val="both"/>
        <w:rPr>
          <w:bCs/>
          <w:sz w:val="28"/>
          <w:szCs w:val="28"/>
          <w:lang w:val="nl-NL"/>
        </w:rPr>
      </w:pPr>
      <w:r w:rsidRPr="00FB71CD">
        <w:rPr>
          <w:bCs/>
          <w:sz w:val="28"/>
          <w:szCs w:val="28"/>
          <w:lang w:val="nl-NL"/>
        </w:rPr>
        <w:t xml:space="preserve">Trên cơ sở nội dung quy định tại </w:t>
      </w:r>
      <w:r w:rsidRPr="00FB71CD">
        <w:rPr>
          <w:iCs/>
          <w:sz w:val="28"/>
          <w:szCs w:val="28"/>
        </w:rPr>
        <w:t>Thông tư số 100/2025/TT-BTC ngày 28 tháng 10 năm 2025 của Bộ trưởng Bộ Tài chính</w:t>
      </w:r>
      <w:r w:rsidRPr="00FB71CD">
        <w:rPr>
          <w:noProof/>
          <w:sz w:val="28"/>
          <w:szCs w:val="28"/>
        </w:rPr>
        <w:t>,</w:t>
      </w:r>
      <w:r w:rsidRPr="00FB71CD">
        <w:rPr>
          <w:bCs/>
          <w:sz w:val="28"/>
          <w:szCs w:val="28"/>
          <w:lang w:val="nl-NL"/>
        </w:rPr>
        <w:t xml:space="preserve"> Sở Nội vụ đã chủ trì, phối hợp với các Sở, ngành, Ủy ban nhân dân xã, phường tham mưu xây dựng </w:t>
      </w:r>
      <w:r w:rsidR="005C60B9" w:rsidRPr="001F1A25">
        <w:rPr>
          <w:bCs/>
          <w:sz w:val="28"/>
          <w:szCs w:val="28"/>
          <w:lang w:val="nl-NL"/>
        </w:rPr>
        <w:t xml:space="preserve">hồ sơ </w:t>
      </w:r>
      <w:r w:rsidRPr="001F1A25">
        <w:rPr>
          <w:bCs/>
          <w:sz w:val="28"/>
          <w:szCs w:val="28"/>
          <w:lang w:val="nl-NL"/>
        </w:rPr>
        <w:t>dự thảo Nghị quyết</w:t>
      </w:r>
      <w:r w:rsidRPr="00FB71CD">
        <w:rPr>
          <w:bCs/>
          <w:sz w:val="28"/>
          <w:szCs w:val="28"/>
          <w:lang w:val="nl-NL"/>
        </w:rPr>
        <w:t xml:space="preserve"> đảm bảo tuân thủ đúng các trình tự, thủ tục được quy định tại Luật Ban hành văn bản quy phạm pháp luật và các quy định pháp luật hiện hành (đã xin ý kiến các cơ quan, đơn vị và Ủy ban nhân dân </w:t>
      </w:r>
      <w:r w:rsidR="000362EF">
        <w:rPr>
          <w:bCs/>
          <w:sz w:val="28"/>
          <w:szCs w:val="28"/>
          <w:lang w:val="nl-NL"/>
        </w:rPr>
        <w:t xml:space="preserve">các </w:t>
      </w:r>
      <w:r w:rsidRPr="00FB71CD">
        <w:rPr>
          <w:bCs/>
          <w:sz w:val="28"/>
          <w:szCs w:val="28"/>
          <w:lang w:val="nl-NL"/>
        </w:rPr>
        <w:t xml:space="preserve">xã, phường; đăng tải trên </w:t>
      </w:r>
      <w:r w:rsidRPr="00FB71CD">
        <w:rPr>
          <w:bCs/>
          <w:sz w:val="28"/>
          <w:szCs w:val="28"/>
        </w:rPr>
        <w:t>Cổng Thông tin điện tử tỉnh;</w:t>
      </w:r>
      <w:r w:rsidRPr="00FB71CD">
        <w:rPr>
          <w:bCs/>
          <w:sz w:val="28"/>
          <w:szCs w:val="28"/>
          <w:lang w:val="nl-NL"/>
        </w:rPr>
        <w:t xml:space="preserve"> được Sở Tư pháp thẩm định tại Báo cáo số .../BC-STP ngày .../.../202</w:t>
      </w:r>
      <w:r w:rsidR="005301F7">
        <w:rPr>
          <w:bCs/>
          <w:sz w:val="28"/>
          <w:szCs w:val="28"/>
          <w:lang w:val="nl-NL"/>
        </w:rPr>
        <w:t>6</w:t>
      </w:r>
      <w:r w:rsidRPr="00FB71CD">
        <w:rPr>
          <w:bCs/>
          <w:sz w:val="28"/>
          <w:szCs w:val="28"/>
          <w:lang w:val="nl-NL"/>
        </w:rPr>
        <w:t>)</w:t>
      </w:r>
      <w:r w:rsidRPr="00FB71CD">
        <w:rPr>
          <w:sz w:val="28"/>
          <w:szCs w:val="28"/>
        </w:rPr>
        <w:t>.</w:t>
      </w:r>
    </w:p>
    <w:p w14:paraId="6576EDC3" w14:textId="19DB0EB9" w:rsidR="0064710E" w:rsidRPr="00FB71CD" w:rsidRDefault="0064710E" w:rsidP="00B71B5D">
      <w:pPr>
        <w:spacing w:before="120" w:after="120"/>
        <w:ind w:firstLine="720"/>
        <w:jc w:val="both"/>
        <w:rPr>
          <w:rFonts w:eastAsiaTheme="minorEastAsia"/>
          <w:b/>
          <w:bCs/>
          <w:color w:val="000000"/>
          <w:kern w:val="2"/>
          <w:sz w:val="28"/>
          <w:szCs w:val="28"/>
          <w14:ligatures w14:val="standardContextual"/>
        </w:rPr>
      </w:pPr>
      <w:r w:rsidRPr="00FB71CD">
        <w:rPr>
          <w:rFonts w:eastAsiaTheme="minorEastAsia"/>
          <w:b/>
          <w:bCs/>
          <w:color w:val="000000"/>
          <w:kern w:val="2"/>
          <w:sz w:val="28"/>
          <w:szCs w:val="28"/>
          <w14:ligatures w14:val="standardContextual"/>
        </w:rPr>
        <w:t>IV. PHẠM VI ĐIỀU CHỈNH, ĐỐI TƯỢNG ÁP DỤNG CỦA NGHỊ</w:t>
      </w:r>
      <w:r w:rsidR="0059600C" w:rsidRPr="00FB71CD">
        <w:rPr>
          <w:rFonts w:eastAsiaTheme="minorEastAsia"/>
          <w:b/>
          <w:bCs/>
          <w:color w:val="000000"/>
          <w:kern w:val="2"/>
          <w:sz w:val="28"/>
          <w:szCs w:val="28"/>
          <w14:ligatures w14:val="standardContextual"/>
        </w:rPr>
        <w:t xml:space="preserve"> </w:t>
      </w:r>
      <w:r w:rsidRPr="00FB71CD">
        <w:rPr>
          <w:rFonts w:eastAsiaTheme="minorEastAsia"/>
          <w:b/>
          <w:bCs/>
          <w:color w:val="000000"/>
          <w:kern w:val="2"/>
          <w:sz w:val="28"/>
          <w:szCs w:val="28"/>
          <w14:ligatures w14:val="standardContextual"/>
        </w:rPr>
        <w:t>QUYẾT</w:t>
      </w:r>
    </w:p>
    <w:p w14:paraId="4ADB77F3" w14:textId="71904FB4" w:rsidR="0064710E" w:rsidRPr="007E75CC" w:rsidRDefault="0064710E" w:rsidP="00B71B5D">
      <w:pPr>
        <w:spacing w:before="120" w:after="120"/>
        <w:ind w:firstLine="720"/>
        <w:jc w:val="both"/>
        <w:rPr>
          <w:rFonts w:eastAsiaTheme="minorEastAsia"/>
          <w:b/>
          <w:color w:val="000000"/>
          <w:kern w:val="2"/>
          <w:sz w:val="28"/>
          <w:szCs w:val="28"/>
          <w14:ligatures w14:val="standardContextual"/>
        </w:rPr>
      </w:pPr>
      <w:r w:rsidRPr="007E75CC">
        <w:rPr>
          <w:rFonts w:eastAsiaTheme="minorEastAsia"/>
          <w:b/>
          <w:color w:val="000000"/>
          <w:kern w:val="2"/>
          <w:sz w:val="28"/>
          <w:szCs w:val="28"/>
          <w14:ligatures w14:val="standardContextual"/>
        </w:rPr>
        <w:t>1. Phạm vi điều chỉnh</w:t>
      </w:r>
    </w:p>
    <w:p w14:paraId="1D926FA1" w14:textId="34355902" w:rsidR="00FB71CD" w:rsidRPr="00FB71CD" w:rsidRDefault="007E75CC" w:rsidP="00B71B5D">
      <w:pPr>
        <w:spacing w:before="120" w:after="120"/>
        <w:ind w:firstLine="720"/>
        <w:jc w:val="both"/>
        <w:rPr>
          <w:rFonts w:eastAsiaTheme="minorEastAsia"/>
          <w:color w:val="000000"/>
          <w:kern w:val="2"/>
          <w:sz w:val="28"/>
          <w:szCs w:val="28"/>
          <w14:ligatures w14:val="standardContextual"/>
        </w:rPr>
      </w:pPr>
      <w:r>
        <w:rPr>
          <w:rFonts w:eastAsiaTheme="minorEastAsia"/>
          <w:color w:val="000000"/>
          <w:kern w:val="2"/>
          <w:sz w:val="28"/>
          <w:szCs w:val="28"/>
          <w14:ligatures w14:val="standardContextual"/>
        </w:rPr>
        <w:t>Dự thảo</w:t>
      </w:r>
      <w:r w:rsidR="0064710E" w:rsidRPr="00FB71CD">
        <w:rPr>
          <w:rFonts w:eastAsiaTheme="minorEastAsia"/>
          <w:color w:val="000000"/>
          <w:kern w:val="2"/>
          <w:sz w:val="28"/>
          <w:szCs w:val="28"/>
          <w14:ligatures w14:val="standardContextual"/>
        </w:rPr>
        <w:t xml:space="preserve"> Nghị quyết quy định mức chi cho công tác đào tạo, bồi dưỡng công chức, viên chức </w:t>
      </w:r>
      <w:r w:rsidR="00FB71CD" w:rsidRPr="00FB71CD">
        <w:rPr>
          <w:rFonts w:eastAsiaTheme="minorEastAsia"/>
          <w:color w:val="000000"/>
          <w:kern w:val="2"/>
          <w:sz w:val="28"/>
          <w:szCs w:val="28"/>
          <w14:ligatures w14:val="standardContextual"/>
        </w:rPr>
        <w:t>trên địa bàn tỉnh Điện Biên</w:t>
      </w:r>
      <w:r>
        <w:rPr>
          <w:rFonts w:eastAsiaTheme="minorEastAsia"/>
          <w:color w:val="000000"/>
          <w:kern w:val="2"/>
          <w:sz w:val="28"/>
          <w:szCs w:val="28"/>
          <w14:ligatures w14:val="standardContextual"/>
        </w:rPr>
        <w:t>.</w:t>
      </w:r>
    </w:p>
    <w:p w14:paraId="668E344B" w14:textId="77777777" w:rsidR="000D4FCC" w:rsidRPr="000D4FCC" w:rsidRDefault="000D4FCC" w:rsidP="00B71B5D">
      <w:pPr>
        <w:spacing w:before="120" w:after="120"/>
        <w:ind w:firstLine="720"/>
        <w:jc w:val="both"/>
        <w:rPr>
          <w:sz w:val="28"/>
          <w:szCs w:val="28"/>
        </w:rPr>
      </w:pPr>
      <w:r w:rsidRPr="000D4FCC">
        <w:rPr>
          <w:sz w:val="28"/>
          <w:szCs w:val="28"/>
        </w:rPr>
        <w:t xml:space="preserve">Những nội dung về mức chi cho công tác đào tạo, bồi dưỡng công chức, viên chức không quy định trong Nghị quyết này thì thực hiện theo quy định tại </w:t>
      </w:r>
      <w:r w:rsidRPr="000D4FCC">
        <w:rPr>
          <w:sz w:val="28"/>
          <w:szCs w:val="28"/>
          <w:lang w:val="nl-NL"/>
        </w:rPr>
        <w:t xml:space="preserve">Thông tư </w:t>
      </w:r>
      <w:r w:rsidRPr="000D4FCC">
        <w:rPr>
          <w:sz w:val="28"/>
          <w:szCs w:val="28"/>
          <w:lang w:val="nl-NL"/>
        </w:rPr>
        <w:lastRenderedPageBreak/>
        <w:t>số 100/2025/TT-BTC ngày 28/10/2025 của Bộ Tài chính</w:t>
      </w:r>
      <w:r w:rsidRPr="000D4FCC">
        <w:rPr>
          <w:sz w:val="28"/>
          <w:szCs w:val="28"/>
        </w:rPr>
        <w:t xml:space="preserve"> và các quy định pháp luật hiện hành.</w:t>
      </w:r>
    </w:p>
    <w:p w14:paraId="5438476D" w14:textId="75F48085" w:rsidR="00FB71CD" w:rsidRPr="00FB71CD" w:rsidRDefault="00FB71CD" w:rsidP="00B71B5D">
      <w:pPr>
        <w:spacing w:before="120" w:after="120"/>
        <w:ind w:firstLine="720"/>
        <w:jc w:val="both"/>
        <w:rPr>
          <w:sz w:val="28"/>
          <w:szCs w:val="28"/>
        </w:rPr>
      </w:pPr>
      <w:r w:rsidRPr="00FB71CD">
        <w:rPr>
          <w:sz w:val="28"/>
          <w:szCs w:val="28"/>
        </w:rPr>
        <w:t>Trường hợp công chức, viên chức thuộc đối tượng hưởng nhiều chính sách hỗ trợ đào tạo, bồi dưỡng cùng tính chất trong cùng một thời điểm thì chỉ được hưởng một chính sách hỗ trợ cao nhất</w:t>
      </w:r>
      <w:r w:rsidR="00207284">
        <w:rPr>
          <w:sz w:val="28"/>
          <w:szCs w:val="28"/>
        </w:rPr>
        <w:t>.</w:t>
      </w:r>
    </w:p>
    <w:p w14:paraId="26F62ABF" w14:textId="4B70D886" w:rsidR="0064710E" w:rsidRPr="00FB71CD" w:rsidRDefault="00FB71CD" w:rsidP="00B71B5D">
      <w:pPr>
        <w:spacing w:before="120" w:after="120"/>
        <w:ind w:firstLine="720"/>
        <w:jc w:val="both"/>
        <w:rPr>
          <w:color w:val="000000"/>
          <w:sz w:val="28"/>
          <w:szCs w:val="28"/>
        </w:rPr>
      </w:pPr>
      <w:r w:rsidRPr="00FB71CD">
        <w:rPr>
          <w:color w:val="000000"/>
          <w:sz w:val="28"/>
          <w:szCs w:val="28"/>
        </w:rPr>
        <w:t>Trường hợp các chương trình/đề án/dự án có văn bản hướng dẫn riêng thì thực hiện theo quy định tại các văn bản hướng dẫn của chương trình/đề án/dự án đó.</w:t>
      </w:r>
    </w:p>
    <w:p w14:paraId="217B652E" w14:textId="77777777" w:rsidR="0064710E" w:rsidRPr="00D50EDB" w:rsidRDefault="0064710E" w:rsidP="00B71B5D">
      <w:pPr>
        <w:spacing w:before="120" w:after="120"/>
        <w:ind w:firstLine="720"/>
        <w:jc w:val="both"/>
        <w:rPr>
          <w:rFonts w:eastAsiaTheme="minorEastAsia"/>
          <w:b/>
          <w:color w:val="000000"/>
          <w:kern w:val="2"/>
          <w:sz w:val="28"/>
          <w:szCs w:val="28"/>
          <w14:ligatures w14:val="standardContextual"/>
        </w:rPr>
      </w:pPr>
      <w:r w:rsidRPr="00D50EDB">
        <w:rPr>
          <w:rFonts w:eastAsiaTheme="minorEastAsia"/>
          <w:b/>
          <w:color w:val="000000"/>
          <w:kern w:val="2"/>
          <w:sz w:val="28"/>
          <w:szCs w:val="28"/>
          <w14:ligatures w14:val="standardContextual"/>
        </w:rPr>
        <w:t>2. Đối tượng áp dụng</w:t>
      </w:r>
    </w:p>
    <w:p w14:paraId="00471DB7" w14:textId="7DBFE9DB" w:rsidR="00FB71CD" w:rsidRPr="00FB71CD" w:rsidRDefault="00875CD7" w:rsidP="00B71B5D">
      <w:pPr>
        <w:spacing w:before="120" w:after="120"/>
        <w:ind w:firstLine="720"/>
        <w:jc w:val="both"/>
        <w:rPr>
          <w:sz w:val="28"/>
          <w:szCs w:val="28"/>
        </w:rPr>
      </w:pPr>
      <w:r>
        <w:rPr>
          <w:color w:val="000000"/>
          <w:sz w:val="28"/>
          <w:szCs w:val="28"/>
        </w:rPr>
        <w:t xml:space="preserve">- </w:t>
      </w:r>
      <w:r w:rsidR="00FB71CD" w:rsidRPr="00FB71CD">
        <w:rPr>
          <w:color w:val="000000"/>
          <w:sz w:val="28"/>
          <w:szCs w:val="28"/>
        </w:rPr>
        <w:t>Công chức trong cơ quan của Đảng Cộng sản Việt Nam, Nhà nước, Mặt trận Tổ quốc Việt Nam, tổ chức chính trị - xã hội ở cấp tỉnh và xã, phường (sau đây gọi là cấp xã);</w:t>
      </w:r>
    </w:p>
    <w:p w14:paraId="46252D21" w14:textId="5B166F10" w:rsidR="00FB71CD" w:rsidRPr="0018306C" w:rsidRDefault="00875CD7" w:rsidP="0018306C">
      <w:pPr>
        <w:spacing w:before="120" w:after="120"/>
        <w:ind w:firstLine="720"/>
        <w:jc w:val="both"/>
        <w:rPr>
          <w:sz w:val="28"/>
          <w:szCs w:val="28"/>
        </w:rPr>
      </w:pPr>
      <w:r>
        <w:rPr>
          <w:color w:val="000000"/>
          <w:sz w:val="28"/>
          <w:szCs w:val="28"/>
        </w:rPr>
        <w:t xml:space="preserve">- </w:t>
      </w:r>
      <w:r w:rsidR="00FB71CD" w:rsidRPr="00FB71CD">
        <w:rPr>
          <w:color w:val="000000"/>
          <w:sz w:val="28"/>
          <w:szCs w:val="28"/>
        </w:rPr>
        <w:t>Viên chức trong đơn vị sự nghiệp công lập;</w:t>
      </w:r>
    </w:p>
    <w:p w14:paraId="0D84B1BA" w14:textId="77777777" w:rsidR="0064710E" w:rsidRPr="00FB71CD" w:rsidRDefault="0064710E" w:rsidP="00B71B5D">
      <w:pPr>
        <w:spacing w:before="120" w:after="120"/>
        <w:ind w:firstLine="720"/>
        <w:jc w:val="both"/>
        <w:rPr>
          <w:rFonts w:eastAsiaTheme="minorEastAsia"/>
          <w:b/>
          <w:bCs/>
          <w:color w:val="000000"/>
          <w:kern w:val="2"/>
          <w:sz w:val="28"/>
          <w:szCs w:val="28"/>
          <w14:ligatures w14:val="standardContextual"/>
        </w:rPr>
      </w:pPr>
      <w:r w:rsidRPr="00FB71CD">
        <w:rPr>
          <w:rFonts w:eastAsiaTheme="minorEastAsia"/>
          <w:b/>
          <w:bCs/>
          <w:color w:val="000000"/>
          <w:kern w:val="2"/>
          <w:sz w:val="28"/>
          <w:szCs w:val="28"/>
          <w14:ligatures w14:val="standardContextual"/>
        </w:rPr>
        <w:t>V. BỐ CỤC, NỘI DUNG CHÍNH CỦA NGHỊ QUYẾT</w:t>
      </w:r>
    </w:p>
    <w:p w14:paraId="36A2DE40" w14:textId="77777777" w:rsidR="0064710E" w:rsidRPr="003142E0" w:rsidRDefault="0064710E" w:rsidP="00B71B5D">
      <w:pPr>
        <w:spacing w:before="120" w:after="120"/>
        <w:ind w:firstLine="720"/>
        <w:jc w:val="both"/>
        <w:rPr>
          <w:rFonts w:eastAsiaTheme="minorEastAsia"/>
          <w:b/>
          <w:bCs/>
          <w:color w:val="000000"/>
          <w:kern w:val="2"/>
          <w:sz w:val="28"/>
          <w:szCs w:val="28"/>
          <w14:ligatures w14:val="standardContextual"/>
        </w:rPr>
      </w:pPr>
      <w:r w:rsidRPr="003142E0">
        <w:rPr>
          <w:rFonts w:eastAsiaTheme="minorEastAsia"/>
          <w:b/>
          <w:bCs/>
          <w:color w:val="000000"/>
          <w:kern w:val="2"/>
          <w:sz w:val="28"/>
          <w:szCs w:val="28"/>
          <w14:ligatures w14:val="standardContextual"/>
        </w:rPr>
        <w:t>1. Bố cục</w:t>
      </w:r>
    </w:p>
    <w:p w14:paraId="21350123" w14:textId="50D7FBD5" w:rsidR="0064710E" w:rsidRPr="00FB71CD" w:rsidRDefault="00D32503" w:rsidP="00B71B5D">
      <w:pPr>
        <w:spacing w:before="120" w:after="120"/>
        <w:ind w:firstLine="720"/>
        <w:jc w:val="both"/>
        <w:rPr>
          <w:rFonts w:eastAsiaTheme="minorEastAsia"/>
          <w:color w:val="000000"/>
          <w:kern w:val="2"/>
          <w:sz w:val="28"/>
          <w:szCs w:val="28"/>
          <w14:ligatures w14:val="standardContextual"/>
        </w:rPr>
      </w:pPr>
      <w:r>
        <w:rPr>
          <w:rFonts w:eastAsiaTheme="minorEastAsia"/>
          <w:color w:val="000000"/>
          <w:kern w:val="2"/>
          <w:sz w:val="28"/>
          <w:szCs w:val="28"/>
          <w14:ligatures w14:val="standardContextual"/>
        </w:rPr>
        <w:t xml:space="preserve">- </w:t>
      </w:r>
      <w:r w:rsidR="0064710E" w:rsidRPr="00FB71CD">
        <w:rPr>
          <w:rFonts w:eastAsiaTheme="minorEastAsia"/>
          <w:color w:val="000000"/>
          <w:kern w:val="2"/>
          <w:sz w:val="28"/>
          <w:szCs w:val="28"/>
          <w14:ligatures w14:val="standardContextual"/>
        </w:rPr>
        <w:t>Dự thảo Nghị quyết được bố cục thành 03 Điều:</w:t>
      </w:r>
    </w:p>
    <w:p w14:paraId="097964EC" w14:textId="4C8954D9" w:rsidR="0064710E" w:rsidRPr="00FB71CD" w:rsidRDefault="00040B24" w:rsidP="00B71B5D">
      <w:pPr>
        <w:spacing w:before="120" w:after="120"/>
        <w:ind w:firstLine="720"/>
        <w:jc w:val="both"/>
        <w:rPr>
          <w:rFonts w:eastAsiaTheme="minorEastAsia"/>
          <w:color w:val="000000"/>
          <w:kern w:val="2"/>
          <w:sz w:val="28"/>
          <w:szCs w:val="28"/>
          <w14:ligatures w14:val="standardContextual"/>
        </w:rPr>
      </w:pPr>
      <w:r>
        <w:rPr>
          <w:rFonts w:eastAsiaTheme="minorEastAsia"/>
          <w:color w:val="000000"/>
          <w:kern w:val="2"/>
          <w:sz w:val="28"/>
          <w:szCs w:val="28"/>
          <w14:ligatures w14:val="standardContextual"/>
        </w:rPr>
        <w:t>Điều 1.</w:t>
      </w:r>
      <w:r w:rsidR="0064710E" w:rsidRPr="00FB71CD">
        <w:rPr>
          <w:rFonts w:eastAsiaTheme="minorEastAsia"/>
          <w:color w:val="000000"/>
          <w:kern w:val="2"/>
          <w:sz w:val="28"/>
          <w:szCs w:val="28"/>
          <w14:ligatures w14:val="standardContextual"/>
        </w:rPr>
        <w:t xml:space="preserve"> Ban hành Quy định kèm theo Nghị quyết</w:t>
      </w:r>
    </w:p>
    <w:p w14:paraId="112176F9" w14:textId="602C6CA7" w:rsidR="0064710E" w:rsidRPr="00FB71CD" w:rsidRDefault="00040B24" w:rsidP="00B71B5D">
      <w:pPr>
        <w:spacing w:before="120" w:after="120"/>
        <w:ind w:firstLine="720"/>
        <w:jc w:val="both"/>
        <w:rPr>
          <w:rFonts w:eastAsiaTheme="minorEastAsia"/>
          <w:color w:val="000000"/>
          <w:kern w:val="2"/>
          <w:sz w:val="28"/>
          <w:szCs w:val="28"/>
          <w14:ligatures w14:val="standardContextual"/>
        </w:rPr>
      </w:pPr>
      <w:r>
        <w:rPr>
          <w:rFonts w:eastAsiaTheme="minorEastAsia"/>
          <w:color w:val="000000"/>
          <w:kern w:val="2"/>
          <w:sz w:val="28"/>
          <w:szCs w:val="28"/>
          <w14:ligatures w14:val="standardContextual"/>
        </w:rPr>
        <w:t xml:space="preserve">Điều 2. </w:t>
      </w:r>
      <w:r w:rsidR="0064710E" w:rsidRPr="00FB71CD">
        <w:rPr>
          <w:rFonts w:eastAsiaTheme="minorEastAsia"/>
          <w:color w:val="000000"/>
          <w:kern w:val="2"/>
          <w:sz w:val="28"/>
          <w:szCs w:val="28"/>
          <w14:ligatures w14:val="standardContextual"/>
        </w:rPr>
        <w:t>Tổ chức thực hiện</w:t>
      </w:r>
    </w:p>
    <w:p w14:paraId="4BDDDBA3" w14:textId="093D1591" w:rsidR="0064710E" w:rsidRPr="00FB71CD" w:rsidRDefault="00040B24" w:rsidP="00B71B5D">
      <w:pPr>
        <w:spacing w:before="120" w:after="120"/>
        <w:ind w:firstLine="720"/>
        <w:jc w:val="both"/>
        <w:rPr>
          <w:rFonts w:eastAsiaTheme="minorEastAsia"/>
          <w:color w:val="000000"/>
          <w:kern w:val="2"/>
          <w:sz w:val="28"/>
          <w:szCs w:val="28"/>
          <w14:ligatures w14:val="standardContextual"/>
        </w:rPr>
      </w:pPr>
      <w:r>
        <w:rPr>
          <w:rFonts w:eastAsiaTheme="minorEastAsia"/>
          <w:color w:val="000000"/>
          <w:kern w:val="2"/>
          <w:sz w:val="28"/>
          <w:szCs w:val="28"/>
          <w14:ligatures w14:val="standardContextual"/>
        </w:rPr>
        <w:t xml:space="preserve">Điều 3. </w:t>
      </w:r>
      <w:r w:rsidR="0064710E" w:rsidRPr="00FB71CD">
        <w:rPr>
          <w:rFonts w:eastAsiaTheme="minorEastAsia"/>
          <w:color w:val="000000"/>
          <w:kern w:val="2"/>
          <w:sz w:val="28"/>
          <w:szCs w:val="28"/>
          <w14:ligatures w14:val="standardContextual"/>
        </w:rPr>
        <w:t>Điều khoản thi hành</w:t>
      </w:r>
    </w:p>
    <w:p w14:paraId="193FEA5D" w14:textId="51E180DE" w:rsidR="0064710E" w:rsidRPr="00FB71CD" w:rsidRDefault="00D32503" w:rsidP="00B71B5D">
      <w:pPr>
        <w:spacing w:before="120" w:after="120"/>
        <w:ind w:firstLine="720"/>
        <w:jc w:val="both"/>
        <w:rPr>
          <w:rFonts w:eastAsiaTheme="minorEastAsia"/>
          <w:color w:val="000000"/>
          <w:kern w:val="2"/>
          <w:sz w:val="28"/>
          <w:szCs w:val="28"/>
          <w14:ligatures w14:val="standardContextual"/>
        </w:rPr>
      </w:pPr>
      <w:r>
        <w:rPr>
          <w:rFonts w:eastAsiaTheme="minorEastAsia"/>
          <w:color w:val="000000"/>
          <w:kern w:val="2"/>
          <w:sz w:val="28"/>
          <w:szCs w:val="28"/>
          <w14:ligatures w14:val="standardContextual"/>
        </w:rPr>
        <w:t xml:space="preserve">- </w:t>
      </w:r>
      <w:r w:rsidR="0064710E" w:rsidRPr="00FB71CD">
        <w:rPr>
          <w:rFonts w:eastAsiaTheme="minorEastAsia"/>
          <w:color w:val="000000"/>
          <w:kern w:val="2"/>
          <w:sz w:val="28"/>
          <w:szCs w:val="28"/>
          <w14:ligatures w14:val="standardContextual"/>
        </w:rPr>
        <w:t>Quy định cụ thể kèm theo Nghị quyết được bố cục thành 0</w:t>
      </w:r>
      <w:r w:rsidR="00FB71CD">
        <w:rPr>
          <w:rFonts w:eastAsiaTheme="minorEastAsia"/>
          <w:color w:val="000000"/>
          <w:kern w:val="2"/>
          <w:sz w:val="28"/>
          <w:szCs w:val="28"/>
          <w14:ligatures w14:val="standardContextual"/>
        </w:rPr>
        <w:t>7</w:t>
      </w:r>
      <w:r w:rsidR="0064710E" w:rsidRPr="00FB71CD">
        <w:rPr>
          <w:rFonts w:eastAsiaTheme="minorEastAsia"/>
          <w:color w:val="000000"/>
          <w:kern w:val="2"/>
          <w:sz w:val="28"/>
          <w:szCs w:val="28"/>
          <w14:ligatures w14:val="standardContextual"/>
        </w:rPr>
        <w:t xml:space="preserve"> Điều:</w:t>
      </w:r>
    </w:p>
    <w:p w14:paraId="440EA5B6" w14:textId="5319B8A3" w:rsidR="0064710E" w:rsidRPr="00FB71CD" w:rsidRDefault="00040B24" w:rsidP="00B71B5D">
      <w:pPr>
        <w:spacing w:before="120" w:after="120"/>
        <w:ind w:firstLine="720"/>
        <w:jc w:val="both"/>
        <w:rPr>
          <w:rFonts w:eastAsiaTheme="minorEastAsia"/>
          <w:color w:val="000000"/>
          <w:kern w:val="2"/>
          <w:sz w:val="28"/>
          <w:szCs w:val="28"/>
          <w14:ligatures w14:val="standardContextual"/>
        </w:rPr>
      </w:pPr>
      <w:r>
        <w:rPr>
          <w:rFonts w:eastAsiaTheme="minorEastAsia"/>
          <w:color w:val="000000"/>
          <w:kern w:val="2"/>
          <w:sz w:val="28"/>
          <w:szCs w:val="28"/>
          <w14:ligatures w14:val="standardContextual"/>
        </w:rPr>
        <w:t>Điều 1.</w:t>
      </w:r>
      <w:r w:rsidR="0064710E" w:rsidRPr="00FB71CD">
        <w:rPr>
          <w:rFonts w:eastAsiaTheme="minorEastAsia"/>
          <w:color w:val="000000"/>
          <w:kern w:val="2"/>
          <w:sz w:val="28"/>
          <w:szCs w:val="28"/>
          <w14:ligatures w14:val="standardContextual"/>
        </w:rPr>
        <w:t xml:space="preserve"> Phạm vi điều chỉnh</w:t>
      </w:r>
    </w:p>
    <w:p w14:paraId="00F80C3D" w14:textId="1CCD25F3" w:rsidR="0064710E" w:rsidRPr="00FB71CD" w:rsidRDefault="00040B24" w:rsidP="00B71B5D">
      <w:pPr>
        <w:spacing w:before="120" w:after="120"/>
        <w:ind w:firstLine="720"/>
        <w:jc w:val="both"/>
        <w:rPr>
          <w:rFonts w:eastAsiaTheme="minorEastAsia"/>
          <w:color w:val="000000"/>
          <w:kern w:val="2"/>
          <w:sz w:val="28"/>
          <w:szCs w:val="28"/>
          <w14:ligatures w14:val="standardContextual"/>
        </w:rPr>
      </w:pPr>
      <w:r>
        <w:rPr>
          <w:rFonts w:eastAsiaTheme="minorEastAsia"/>
          <w:color w:val="000000"/>
          <w:kern w:val="2"/>
          <w:sz w:val="28"/>
          <w:szCs w:val="28"/>
          <w14:ligatures w14:val="standardContextual"/>
        </w:rPr>
        <w:t>Điều 2.</w:t>
      </w:r>
      <w:r w:rsidR="0064710E" w:rsidRPr="00FB71CD">
        <w:rPr>
          <w:rFonts w:eastAsiaTheme="minorEastAsia"/>
          <w:color w:val="000000"/>
          <w:kern w:val="2"/>
          <w:sz w:val="28"/>
          <w:szCs w:val="28"/>
          <w14:ligatures w14:val="standardContextual"/>
        </w:rPr>
        <w:t xml:space="preserve"> </w:t>
      </w:r>
      <w:r w:rsidR="00FB71CD">
        <w:rPr>
          <w:rFonts w:eastAsiaTheme="minorEastAsia"/>
          <w:color w:val="000000"/>
          <w:kern w:val="2"/>
          <w:sz w:val="28"/>
          <w:szCs w:val="28"/>
          <w14:ligatures w14:val="standardContextual"/>
        </w:rPr>
        <w:t>Đ</w:t>
      </w:r>
      <w:r w:rsidR="00FB71CD" w:rsidRPr="00FB71CD">
        <w:rPr>
          <w:rFonts w:eastAsiaTheme="minorEastAsia"/>
          <w:color w:val="000000"/>
          <w:kern w:val="2"/>
          <w:sz w:val="28"/>
          <w:szCs w:val="28"/>
          <w14:ligatures w14:val="standardContextual"/>
        </w:rPr>
        <w:t>ối tượng áp dụng</w:t>
      </w:r>
    </w:p>
    <w:p w14:paraId="46FA40D3" w14:textId="2B0252DF" w:rsidR="0064710E" w:rsidRPr="00FB71CD" w:rsidRDefault="00040B24" w:rsidP="00B71B5D">
      <w:pPr>
        <w:spacing w:before="120" w:after="120"/>
        <w:ind w:firstLine="720"/>
        <w:jc w:val="both"/>
        <w:rPr>
          <w:rFonts w:eastAsiaTheme="minorEastAsia"/>
          <w:color w:val="000000"/>
          <w:kern w:val="2"/>
          <w:sz w:val="28"/>
          <w:szCs w:val="28"/>
          <w14:ligatures w14:val="standardContextual"/>
        </w:rPr>
      </w:pPr>
      <w:r>
        <w:rPr>
          <w:rFonts w:eastAsiaTheme="minorEastAsia"/>
          <w:color w:val="000000"/>
          <w:kern w:val="2"/>
          <w:sz w:val="28"/>
          <w:szCs w:val="28"/>
          <w14:ligatures w14:val="standardContextual"/>
        </w:rPr>
        <w:t>Điều 3.</w:t>
      </w:r>
      <w:r w:rsidR="0064710E" w:rsidRPr="00FB71CD">
        <w:rPr>
          <w:rFonts w:eastAsiaTheme="minorEastAsia"/>
          <w:color w:val="000000"/>
          <w:kern w:val="2"/>
          <w:sz w:val="28"/>
          <w:szCs w:val="28"/>
          <w14:ligatures w14:val="standardContextual"/>
        </w:rPr>
        <w:t xml:space="preserve"> </w:t>
      </w:r>
      <w:r w:rsidR="00EE01BE">
        <w:rPr>
          <w:rFonts w:eastAsiaTheme="minorEastAsia"/>
          <w:color w:val="000000"/>
          <w:kern w:val="2"/>
          <w:sz w:val="28"/>
          <w:szCs w:val="28"/>
          <w14:ligatures w14:val="standardContextual"/>
        </w:rPr>
        <w:t>Mức chi công tác đào tạo công chức</w:t>
      </w:r>
      <w:r w:rsidR="004E4C48">
        <w:rPr>
          <w:rFonts w:eastAsiaTheme="minorEastAsia"/>
          <w:color w:val="000000"/>
          <w:kern w:val="2"/>
          <w:sz w:val="28"/>
          <w:szCs w:val="28"/>
          <w14:ligatures w14:val="standardContextual"/>
        </w:rPr>
        <w:t xml:space="preserve"> trong nước</w:t>
      </w:r>
    </w:p>
    <w:p w14:paraId="0995AF21" w14:textId="758F52CE" w:rsidR="0064710E" w:rsidRPr="00FB71CD" w:rsidRDefault="00040B24" w:rsidP="00B71B5D">
      <w:pPr>
        <w:spacing w:before="120" w:after="120"/>
        <w:ind w:firstLine="720"/>
        <w:jc w:val="both"/>
        <w:rPr>
          <w:rFonts w:eastAsiaTheme="minorEastAsia"/>
          <w:color w:val="000000"/>
          <w:kern w:val="2"/>
          <w:sz w:val="28"/>
          <w:szCs w:val="28"/>
          <w14:ligatures w14:val="standardContextual"/>
        </w:rPr>
      </w:pPr>
      <w:r>
        <w:rPr>
          <w:rFonts w:eastAsiaTheme="minorEastAsia"/>
          <w:color w:val="000000"/>
          <w:kern w:val="2"/>
          <w:sz w:val="28"/>
          <w:szCs w:val="28"/>
          <w14:ligatures w14:val="standardContextual"/>
        </w:rPr>
        <w:t xml:space="preserve">Điều </w:t>
      </w:r>
      <w:r w:rsidR="0064710E" w:rsidRPr="00FB71CD">
        <w:rPr>
          <w:rFonts w:eastAsiaTheme="minorEastAsia"/>
          <w:color w:val="000000"/>
          <w:kern w:val="2"/>
          <w:sz w:val="28"/>
          <w:szCs w:val="28"/>
          <w14:ligatures w14:val="standardContextual"/>
        </w:rPr>
        <w:t>4</w:t>
      </w:r>
      <w:r>
        <w:rPr>
          <w:rFonts w:eastAsiaTheme="minorEastAsia"/>
          <w:color w:val="000000"/>
          <w:kern w:val="2"/>
          <w:sz w:val="28"/>
          <w:szCs w:val="28"/>
          <w14:ligatures w14:val="standardContextual"/>
        </w:rPr>
        <w:t>.</w:t>
      </w:r>
      <w:r w:rsidR="0064710E" w:rsidRPr="00FB71CD">
        <w:rPr>
          <w:rFonts w:eastAsiaTheme="minorEastAsia"/>
          <w:color w:val="000000"/>
          <w:kern w:val="2"/>
          <w:sz w:val="28"/>
          <w:szCs w:val="28"/>
          <w14:ligatures w14:val="standardContextual"/>
        </w:rPr>
        <w:t xml:space="preserve"> </w:t>
      </w:r>
      <w:r w:rsidR="00EE01BE">
        <w:rPr>
          <w:rFonts w:eastAsiaTheme="minorEastAsia"/>
          <w:color w:val="000000"/>
          <w:kern w:val="2"/>
          <w:sz w:val="28"/>
          <w:szCs w:val="28"/>
          <w14:ligatures w14:val="standardContextual"/>
        </w:rPr>
        <w:t>Mức chi công tác bồi dưỡng công chức trong nước</w:t>
      </w:r>
    </w:p>
    <w:p w14:paraId="4E6C4713" w14:textId="56F5AEC6" w:rsidR="0064710E" w:rsidRPr="00FB71CD" w:rsidRDefault="00040B24" w:rsidP="00B71B5D">
      <w:pPr>
        <w:spacing w:before="120" w:after="120"/>
        <w:ind w:firstLine="720"/>
        <w:jc w:val="both"/>
        <w:rPr>
          <w:rFonts w:eastAsiaTheme="minorEastAsia"/>
          <w:color w:val="000000"/>
          <w:kern w:val="2"/>
          <w:sz w:val="28"/>
          <w:szCs w:val="28"/>
          <w14:ligatures w14:val="standardContextual"/>
        </w:rPr>
      </w:pPr>
      <w:r>
        <w:rPr>
          <w:rFonts w:eastAsiaTheme="minorEastAsia"/>
          <w:color w:val="000000"/>
          <w:kern w:val="2"/>
          <w:sz w:val="28"/>
          <w:szCs w:val="28"/>
          <w14:ligatures w14:val="standardContextual"/>
        </w:rPr>
        <w:t xml:space="preserve">Điều </w:t>
      </w:r>
      <w:r w:rsidR="0064710E" w:rsidRPr="00FB71CD">
        <w:rPr>
          <w:rFonts w:eastAsiaTheme="minorEastAsia"/>
          <w:color w:val="000000"/>
          <w:kern w:val="2"/>
          <w:sz w:val="28"/>
          <w:szCs w:val="28"/>
          <w14:ligatures w14:val="standardContextual"/>
        </w:rPr>
        <w:t>5</w:t>
      </w:r>
      <w:r>
        <w:rPr>
          <w:rFonts w:eastAsiaTheme="minorEastAsia"/>
          <w:color w:val="000000"/>
          <w:kern w:val="2"/>
          <w:sz w:val="28"/>
          <w:szCs w:val="28"/>
          <w14:ligatures w14:val="standardContextual"/>
        </w:rPr>
        <w:t>.</w:t>
      </w:r>
      <w:r w:rsidR="0064710E" w:rsidRPr="00FB71CD">
        <w:rPr>
          <w:rFonts w:eastAsiaTheme="minorEastAsia"/>
          <w:color w:val="000000"/>
          <w:kern w:val="2"/>
          <w:sz w:val="28"/>
          <w:szCs w:val="28"/>
          <w14:ligatures w14:val="standardContextual"/>
        </w:rPr>
        <w:t xml:space="preserve"> </w:t>
      </w:r>
      <w:r w:rsidR="00EE01BE">
        <w:rPr>
          <w:rFonts w:eastAsiaTheme="minorEastAsia"/>
          <w:color w:val="000000"/>
          <w:kern w:val="2"/>
          <w:sz w:val="28"/>
          <w:szCs w:val="28"/>
          <w14:ligatures w14:val="standardContextual"/>
        </w:rPr>
        <w:t>Mức chi công tác đào t</w:t>
      </w:r>
      <w:r w:rsidR="009E7762">
        <w:rPr>
          <w:rFonts w:eastAsiaTheme="minorEastAsia"/>
          <w:color w:val="000000"/>
          <w:kern w:val="2"/>
          <w:sz w:val="28"/>
          <w:szCs w:val="28"/>
          <w14:ligatures w14:val="standardContextual"/>
        </w:rPr>
        <w:t>ạo</w:t>
      </w:r>
      <w:r w:rsidR="00EE01BE">
        <w:rPr>
          <w:rFonts w:eastAsiaTheme="minorEastAsia"/>
          <w:color w:val="000000"/>
          <w:kern w:val="2"/>
          <w:sz w:val="28"/>
          <w:szCs w:val="28"/>
          <w14:ligatures w14:val="standardContextual"/>
        </w:rPr>
        <w:t>, bồi dưỡng viên chức</w:t>
      </w:r>
    </w:p>
    <w:p w14:paraId="2AEF85AF" w14:textId="23DE956B" w:rsidR="0064710E" w:rsidRDefault="00040B24" w:rsidP="00B71B5D">
      <w:pPr>
        <w:spacing w:before="120" w:after="120"/>
        <w:ind w:firstLine="720"/>
        <w:jc w:val="both"/>
        <w:rPr>
          <w:rFonts w:eastAsiaTheme="minorEastAsia"/>
          <w:color w:val="000000"/>
          <w:kern w:val="2"/>
          <w:sz w:val="28"/>
          <w:szCs w:val="28"/>
          <w14:ligatures w14:val="standardContextual"/>
        </w:rPr>
      </w:pPr>
      <w:r>
        <w:rPr>
          <w:rFonts w:eastAsiaTheme="minorEastAsia"/>
          <w:color w:val="000000"/>
          <w:kern w:val="2"/>
          <w:sz w:val="28"/>
          <w:szCs w:val="28"/>
          <w14:ligatures w14:val="standardContextual"/>
        </w:rPr>
        <w:t xml:space="preserve">Điều </w:t>
      </w:r>
      <w:r w:rsidR="0064710E" w:rsidRPr="00FB71CD">
        <w:rPr>
          <w:rFonts w:eastAsiaTheme="minorEastAsia"/>
          <w:color w:val="000000"/>
          <w:kern w:val="2"/>
          <w:sz w:val="28"/>
          <w:szCs w:val="28"/>
          <w14:ligatures w14:val="standardContextual"/>
        </w:rPr>
        <w:t>6</w:t>
      </w:r>
      <w:r>
        <w:rPr>
          <w:rFonts w:eastAsiaTheme="minorEastAsia"/>
          <w:color w:val="000000"/>
          <w:kern w:val="2"/>
          <w:sz w:val="28"/>
          <w:szCs w:val="28"/>
          <w14:ligatures w14:val="standardContextual"/>
        </w:rPr>
        <w:t>.</w:t>
      </w:r>
      <w:r w:rsidR="0064710E" w:rsidRPr="00FB71CD">
        <w:rPr>
          <w:rFonts w:eastAsiaTheme="minorEastAsia"/>
          <w:color w:val="000000"/>
          <w:kern w:val="2"/>
          <w:sz w:val="28"/>
          <w:szCs w:val="28"/>
          <w14:ligatures w14:val="standardContextual"/>
        </w:rPr>
        <w:t xml:space="preserve"> </w:t>
      </w:r>
      <w:r w:rsidR="00EE01BE" w:rsidRPr="00EE01BE">
        <w:rPr>
          <w:rFonts w:eastAsiaTheme="minorEastAsia"/>
          <w:color w:val="000000"/>
          <w:kern w:val="2"/>
          <w:sz w:val="28"/>
          <w:szCs w:val="28"/>
          <w14:ligatures w14:val="standardContextual"/>
        </w:rPr>
        <w:t>Mức chi tổ chức các hội nghị tập huấn, bồi dưỡng; chi tổ chức các cuộc họp, hội thảo, hội nghị; chi đi công tác để kiểm tra đánh giá kết quả đào tạo, bồi dưỡng; chi điều tra, khảo sát xây dựng kế hoạch đào tạo, bồi dưỡng</w:t>
      </w:r>
    </w:p>
    <w:p w14:paraId="68C11950" w14:textId="5E84B347" w:rsidR="00EE01BE" w:rsidRPr="00FB71CD" w:rsidRDefault="00040B24" w:rsidP="00B71B5D">
      <w:pPr>
        <w:spacing w:before="120" w:after="120"/>
        <w:ind w:firstLine="720"/>
        <w:jc w:val="both"/>
        <w:rPr>
          <w:rFonts w:eastAsiaTheme="minorEastAsia"/>
          <w:color w:val="000000"/>
          <w:kern w:val="2"/>
          <w:sz w:val="28"/>
          <w:szCs w:val="28"/>
          <w14:ligatures w14:val="standardContextual"/>
        </w:rPr>
      </w:pPr>
      <w:r>
        <w:rPr>
          <w:rFonts w:eastAsiaTheme="minorEastAsia"/>
          <w:color w:val="000000"/>
          <w:kern w:val="2"/>
          <w:sz w:val="28"/>
          <w:szCs w:val="28"/>
          <w14:ligatures w14:val="standardContextual"/>
        </w:rPr>
        <w:t xml:space="preserve">Điều </w:t>
      </w:r>
      <w:r w:rsidR="00EE01BE">
        <w:rPr>
          <w:rFonts w:eastAsiaTheme="minorEastAsia"/>
          <w:color w:val="000000"/>
          <w:kern w:val="2"/>
          <w:sz w:val="28"/>
          <w:szCs w:val="28"/>
          <w14:ligatures w14:val="standardContextual"/>
        </w:rPr>
        <w:t>7</w:t>
      </w:r>
      <w:r>
        <w:rPr>
          <w:rFonts w:eastAsiaTheme="minorEastAsia"/>
          <w:color w:val="000000"/>
          <w:kern w:val="2"/>
          <w:sz w:val="28"/>
          <w:szCs w:val="28"/>
          <w14:ligatures w14:val="standardContextual"/>
        </w:rPr>
        <w:t>.</w:t>
      </w:r>
      <w:r w:rsidR="00EE01BE">
        <w:rPr>
          <w:rFonts w:eastAsiaTheme="minorEastAsia"/>
          <w:color w:val="000000"/>
          <w:kern w:val="2"/>
          <w:sz w:val="28"/>
          <w:szCs w:val="28"/>
          <w14:ligatures w14:val="standardContextual"/>
        </w:rPr>
        <w:t xml:space="preserve"> Tổ chức thực hiện</w:t>
      </w:r>
    </w:p>
    <w:p w14:paraId="41E865FD" w14:textId="54B90695" w:rsidR="0064710E" w:rsidRPr="00040B24" w:rsidRDefault="0064710E" w:rsidP="00B71B5D">
      <w:pPr>
        <w:spacing w:before="120" w:after="120"/>
        <w:ind w:firstLine="720"/>
        <w:jc w:val="both"/>
        <w:rPr>
          <w:rFonts w:eastAsiaTheme="minorEastAsia"/>
          <w:b/>
          <w:bCs/>
          <w:color w:val="000000"/>
          <w:kern w:val="2"/>
          <w:sz w:val="28"/>
          <w:szCs w:val="28"/>
          <w14:ligatures w14:val="standardContextual"/>
        </w:rPr>
      </w:pPr>
      <w:r w:rsidRPr="00040B24">
        <w:rPr>
          <w:rFonts w:eastAsiaTheme="minorEastAsia"/>
          <w:b/>
          <w:bCs/>
          <w:color w:val="000000"/>
          <w:kern w:val="2"/>
          <w:sz w:val="28"/>
          <w:szCs w:val="28"/>
          <w14:ligatures w14:val="standardContextual"/>
        </w:rPr>
        <w:t xml:space="preserve">2. Nội dung </w:t>
      </w:r>
      <w:r w:rsidR="00DA7B86">
        <w:rPr>
          <w:rFonts w:eastAsiaTheme="minorEastAsia"/>
          <w:b/>
          <w:bCs/>
          <w:color w:val="000000"/>
          <w:kern w:val="2"/>
          <w:sz w:val="28"/>
          <w:szCs w:val="28"/>
          <w14:ligatures w14:val="standardContextual"/>
        </w:rPr>
        <w:t>chính</w:t>
      </w:r>
      <w:r w:rsidRPr="00040B24">
        <w:rPr>
          <w:rFonts w:eastAsiaTheme="minorEastAsia"/>
          <w:b/>
          <w:bCs/>
          <w:color w:val="000000"/>
          <w:kern w:val="2"/>
          <w:sz w:val="28"/>
          <w:szCs w:val="28"/>
          <w14:ligatures w14:val="standardContextual"/>
        </w:rPr>
        <w:t xml:space="preserve"> của Nghị quyết</w:t>
      </w:r>
    </w:p>
    <w:p w14:paraId="304A55CE" w14:textId="42507285" w:rsidR="0064710E" w:rsidRPr="00FB71CD" w:rsidRDefault="0064710E" w:rsidP="00B71B5D">
      <w:pPr>
        <w:spacing w:before="120" w:after="120"/>
        <w:ind w:firstLine="720"/>
        <w:jc w:val="both"/>
        <w:rPr>
          <w:rFonts w:eastAsiaTheme="minorEastAsia"/>
          <w:color w:val="000000"/>
          <w:kern w:val="2"/>
          <w:sz w:val="28"/>
          <w:szCs w:val="28"/>
          <w14:ligatures w14:val="standardContextual"/>
        </w:rPr>
      </w:pPr>
      <w:r w:rsidRPr="00FB71CD">
        <w:rPr>
          <w:rFonts w:eastAsiaTheme="minorEastAsia"/>
          <w:color w:val="000000"/>
          <w:kern w:val="2"/>
          <w:sz w:val="28"/>
          <w:szCs w:val="28"/>
          <w14:ligatures w14:val="standardContextual"/>
        </w:rPr>
        <w:t xml:space="preserve">Nghị quyết này quy định mức chi cho công tác đào tạo, bồi dưỡng công chức, viên chức thuộc phạm vi quản lý của tỉnh </w:t>
      </w:r>
      <w:r w:rsidR="001F1A25">
        <w:rPr>
          <w:rFonts w:eastAsiaTheme="minorEastAsia"/>
          <w:color w:val="000000"/>
          <w:kern w:val="2"/>
          <w:sz w:val="28"/>
          <w:szCs w:val="28"/>
          <w14:ligatures w14:val="standardContextual"/>
        </w:rPr>
        <w:t>Điện Biên</w:t>
      </w:r>
      <w:r w:rsidRPr="00FB71CD">
        <w:rPr>
          <w:rFonts w:eastAsiaTheme="minorEastAsia"/>
          <w:color w:val="000000"/>
          <w:kern w:val="2"/>
          <w:sz w:val="28"/>
          <w:szCs w:val="28"/>
          <w14:ligatures w14:val="standardContextual"/>
        </w:rPr>
        <w:t>.</w:t>
      </w:r>
    </w:p>
    <w:p w14:paraId="2CE699FD" w14:textId="031002DC" w:rsidR="0064710E" w:rsidRPr="00040B24" w:rsidRDefault="0064710E" w:rsidP="00B71B5D">
      <w:pPr>
        <w:spacing w:before="120" w:after="120"/>
        <w:ind w:firstLine="720"/>
        <w:jc w:val="both"/>
        <w:rPr>
          <w:rFonts w:eastAsiaTheme="minorEastAsia"/>
          <w:b/>
          <w:bCs/>
          <w:color w:val="000000"/>
          <w:kern w:val="2"/>
          <w:sz w:val="28"/>
          <w:szCs w:val="28"/>
          <w14:ligatures w14:val="standardContextual"/>
        </w:rPr>
      </w:pPr>
      <w:r w:rsidRPr="00040B24">
        <w:rPr>
          <w:rFonts w:eastAsiaTheme="minorEastAsia"/>
          <w:b/>
          <w:bCs/>
          <w:color w:val="000000"/>
          <w:kern w:val="2"/>
          <w:sz w:val="28"/>
          <w:szCs w:val="28"/>
          <w14:ligatures w14:val="standardContextual"/>
        </w:rPr>
        <w:t>VI. DỰ KIẾN NGUỒN LỰC, ĐIỀU KIỆN BẢO ĐẢM CHO VIỆC THI HÀNH NGHỊ QUYẾT VÀ THỜI GIAN TRÌNH THÔNG QUA</w:t>
      </w:r>
    </w:p>
    <w:p w14:paraId="28677576" w14:textId="77777777" w:rsidR="003E4B70" w:rsidRDefault="003E4B70" w:rsidP="00B71B5D">
      <w:pPr>
        <w:pStyle w:val="nidungVB"/>
        <w:spacing w:before="120" w:line="240" w:lineRule="auto"/>
        <w:ind w:firstLine="709"/>
        <w:rPr>
          <w:b/>
          <w:bCs/>
        </w:rPr>
      </w:pPr>
      <w:r w:rsidRPr="00695ECC">
        <w:rPr>
          <w:b/>
          <w:bCs/>
        </w:rPr>
        <w:lastRenderedPageBreak/>
        <w:t>1. Dự kiến nguồn lực</w:t>
      </w:r>
    </w:p>
    <w:p w14:paraId="241208CF" w14:textId="77777777" w:rsidR="003E4B70" w:rsidRPr="00695ECC" w:rsidRDefault="003E4B70" w:rsidP="00B71B5D">
      <w:pPr>
        <w:pStyle w:val="nidungVB"/>
        <w:spacing w:before="120" w:line="240" w:lineRule="auto"/>
        <w:ind w:firstLine="709"/>
      </w:pPr>
      <w:r w:rsidRPr="00695ECC">
        <w:t xml:space="preserve">Nguồn ngân sách trung ương hỗ trợ, ngân sách địa phương theo phân cấp, kinh phí chi thường xuyên giao hằng năm của các cơ quan, đơn vị, nguồn thu phí được để lại theo quy định của pháp luật về phí, lệ phí, nguồn </w:t>
      </w:r>
      <w:r>
        <w:t>tài chính</w:t>
      </w:r>
      <w:r w:rsidRPr="00695ECC">
        <w:t xml:space="preserve"> của đơn vị sự nghiệp công lập, và nguồn kinh phí hợp pháp khác (nếu có).</w:t>
      </w:r>
    </w:p>
    <w:p w14:paraId="26B27CB8" w14:textId="01405104" w:rsidR="003E4B70" w:rsidRPr="003E4B70" w:rsidRDefault="003E4B70" w:rsidP="00B71B5D">
      <w:pPr>
        <w:spacing w:before="120" w:after="120"/>
        <w:ind w:firstLine="709"/>
        <w:jc w:val="both"/>
        <w:rPr>
          <w:rFonts w:eastAsiaTheme="minorEastAsia"/>
          <w:b/>
          <w:bCs/>
          <w:color w:val="000000"/>
          <w:kern w:val="2"/>
          <w:sz w:val="28"/>
          <w:szCs w:val="28"/>
          <w14:ligatures w14:val="standardContextual"/>
        </w:rPr>
      </w:pPr>
      <w:r w:rsidRPr="003E4B70">
        <w:rPr>
          <w:rFonts w:eastAsiaTheme="minorEastAsia"/>
          <w:b/>
          <w:bCs/>
          <w:color w:val="000000"/>
          <w:kern w:val="2"/>
          <w:sz w:val="28"/>
          <w:szCs w:val="28"/>
          <w14:ligatures w14:val="standardContextual"/>
        </w:rPr>
        <w:t>2</w:t>
      </w:r>
      <w:r>
        <w:rPr>
          <w:rFonts w:eastAsiaTheme="minorEastAsia"/>
          <w:b/>
          <w:bCs/>
          <w:color w:val="000000"/>
          <w:kern w:val="2"/>
          <w:sz w:val="28"/>
          <w:szCs w:val="28"/>
          <w14:ligatures w14:val="standardContextual"/>
        </w:rPr>
        <w:t>. Dự kiến thời gian trình thông qua</w:t>
      </w:r>
    </w:p>
    <w:p w14:paraId="148AAAFF" w14:textId="23F59E5B" w:rsidR="003E4B70" w:rsidRDefault="003E4B70" w:rsidP="00B71B5D">
      <w:pPr>
        <w:spacing w:before="120" w:after="120"/>
        <w:ind w:firstLine="720"/>
        <w:jc w:val="both"/>
        <w:rPr>
          <w:rStyle w:val="fontstyle01"/>
          <w:color w:val="auto"/>
          <w:lang w:val="nl-NL"/>
        </w:rPr>
      </w:pPr>
      <w:r w:rsidRPr="00397DB8">
        <w:rPr>
          <w:rStyle w:val="fontstyle01"/>
          <w:color w:val="auto"/>
          <w:lang w:val="nl-NL"/>
        </w:rPr>
        <w:t xml:space="preserve">Thời gian dự kiến trình thông qua dự thảo Nghị quyết vào kỳ họp </w:t>
      </w:r>
      <w:r w:rsidR="00264059">
        <w:rPr>
          <w:rStyle w:val="fontstyle01"/>
          <w:color w:val="auto"/>
          <w:lang w:val="nl-NL"/>
        </w:rPr>
        <w:t xml:space="preserve">thứ        </w:t>
      </w:r>
      <w:r w:rsidRPr="00397DB8">
        <w:rPr>
          <w:rStyle w:val="fontstyle01"/>
          <w:color w:val="auto"/>
          <w:lang w:val="nl-NL"/>
        </w:rPr>
        <w:t xml:space="preserve"> của Hội đồng nhân tỉnh, khóa</w:t>
      </w:r>
      <w:r w:rsidR="00E0574B">
        <w:rPr>
          <w:rStyle w:val="fontstyle01"/>
          <w:color w:val="auto"/>
          <w:lang w:val="nl-NL"/>
        </w:rPr>
        <w:t xml:space="preserve"> XVI</w:t>
      </w:r>
      <w:r w:rsidRPr="00397DB8">
        <w:rPr>
          <w:rStyle w:val="fontstyle01"/>
          <w:color w:val="auto"/>
          <w:lang w:val="nl-NL"/>
        </w:rPr>
        <w:t>, nhiệm kỳ</w:t>
      </w:r>
      <w:r w:rsidR="00264059">
        <w:rPr>
          <w:rStyle w:val="fontstyle01"/>
          <w:color w:val="auto"/>
          <w:lang w:val="nl-NL"/>
        </w:rPr>
        <w:t xml:space="preserve"> 2026 - 2031</w:t>
      </w:r>
      <w:r w:rsidRPr="00397DB8">
        <w:rPr>
          <w:rStyle w:val="fontstyle01"/>
          <w:color w:val="auto"/>
          <w:lang w:val="nl-NL"/>
        </w:rPr>
        <w:t>.</w:t>
      </w:r>
    </w:p>
    <w:p w14:paraId="765CC9CC" w14:textId="271EE03E" w:rsidR="0064710E" w:rsidRPr="00FB71CD" w:rsidRDefault="0064710E" w:rsidP="00B71B5D">
      <w:pPr>
        <w:spacing w:before="120" w:after="120"/>
        <w:ind w:firstLine="720"/>
        <w:jc w:val="both"/>
        <w:rPr>
          <w:rFonts w:eastAsiaTheme="minorEastAsia"/>
          <w:color w:val="000000"/>
          <w:kern w:val="2"/>
          <w:sz w:val="28"/>
          <w:szCs w:val="28"/>
          <w14:ligatures w14:val="standardContextual"/>
        </w:rPr>
      </w:pPr>
      <w:r w:rsidRPr="00FB71CD">
        <w:rPr>
          <w:rFonts w:eastAsiaTheme="minorEastAsia"/>
          <w:color w:val="000000"/>
          <w:kern w:val="2"/>
          <w:sz w:val="28"/>
          <w:szCs w:val="28"/>
          <w14:ligatures w14:val="standardContextual"/>
        </w:rPr>
        <w:t xml:space="preserve">Trên đây là Tờ trình Nghị quyết của Hội đồng nhân dân tỉnh quy định mức chi cho công tác đào tạo, bồi dưỡng công chức, viên chức </w:t>
      </w:r>
      <w:r w:rsidR="003E4B70">
        <w:rPr>
          <w:rFonts w:eastAsiaTheme="minorEastAsia"/>
          <w:color w:val="000000"/>
          <w:kern w:val="2"/>
          <w:sz w:val="28"/>
          <w:szCs w:val="28"/>
          <w14:ligatures w14:val="standardContextual"/>
        </w:rPr>
        <w:t>trên địa bàn tỉnh Điện Biên</w:t>
      </w:r>
      <w:r w:rsidR="002B6289">
        <w:rPr>
          <w:rFonts w:eastAsiaTheme="minorEastAsia"/>
          <w:color w:val="000000"/>
          <w:kern w:val="2"/>
          <w:sz w:val="28"/>
          <w:szCs w:val="28"/>
          <w14:ligatures w14:val="standardContextual"/>
        </w:rPr>
        <w:t xml:space="preserve">, </w:t>
      </w:r>
      <w:r w:rsidRPr="00FB71CD">
        <w:rPr>
          <w:rFonts w:eastAsiaTheme="minorEastAsia"/>
          <w:color w:val="000000"/>
          <w:kern w:val="2"/>
          <w:sz w:val="28"/>
          <w:szCs w:val="28"/>
          <w14:ligatures w14:val="standardContextual"/>
        </w:rPr>
        <w:t>Ủy ban nhân dân tỉnh trình Hội đồng nhân dân tỉnh xem xét, quyết định./</w:t>
      </w:r>
      <w:r w:rsidR="001A6C5E" w:rsidRPr="00FB71CD">
        <w:rPr>
          <w:rFonts w:eastAsiaTheme="minorEastAsia"/>
          <w:color w:val="000000"/>
          <w:kern w:val="2"/>
          <w:sz w:val="28"/>
          <w:szCs w:val="28"/>
          <w14:ligatures w14:val="standardContextual"/>
        </w:rPr>
        <w:t>.</w:t>
      </w:r>
    </w:p>
    <w:p w14:paraId="35C72736" w14:textId="77777777" w:rsidR="001A6C5E" w:rsidRPr="00EE39F3" w:rsidRDefault="001A6C5E" w:rsidP="0064710E">
      <w:pPr>
        <w:ind w:firstLine="720"/>
        <w:jc w:val="both"/>
        <w:rPr>
          <w:rFonts w:eastAsiaTheme="minorEastAsia"/>
          <w:color w:val="000000"/>
          <w:kern w:val="2"/>
          <w:sz w:val="16"/>
          <w:szCs w:val="16"/>
          <w14:ligatures w14:val="standardContextual"/>
        </w:rPr>
      </w:pPr>
    </w:p>
    <w:tbl>
      <w:tblPr>
        <w:tblW w:w="4615" w:type="pct"/>
        <w:tblBorders>
          <w:top w:val="nil"/>
          <w:bottom w:val="nil"/>
          <w:insideH w:val="nil"/>
          <w:insideV w:val="nil"/>
        </w:tblBorders>
        <w:tblCellMar>
          <w:left w:w="0" w:type="dxa"/>
          <w:right w:w="0" w:type="dxa"/>
        </w:tblCellMar>
        <w:tblLook w:val="04A0" w:firstRow="1" w:lastRow="0" w:firstColumn="1" w:lastColumn="0" w:noHBand="0" w:noVBand="1"/>
      </w:tblPr>
      <w:tblGrid>
        <w:gridCol w:w="4962"/>
        <w:gridCol w:w="3719"/>
      </w:tblGrid>
      <w:tr w:rsidR="001A6C5E" w:rsidRPr="00FB71CD" w14:paraId="6CAC0F0F" w14:textId="77777777" w:rsidTr="008C0D9F">
        <w:trPr>
          <w:trHeight w:val="1644"/>
        </w:trPr>
        <w:tc>
          <w:tcPr>
            <w:tcW w:w="2858" w:type="pct"/>
            <w:tcBorders>
              <w:top w:val="nil"/>
              <w:left w:val="nil"/>
              <w:bottom w:val="nil"/>
              <w:right w:val="nil"/>
              <w:tl2br w:val="nil"/>
              <w:tr2bl w:val="nil"/>
            </w:tcBorders>
            <w:tcMar>
              <w:top w:w="0" w:type="dxa"/>
              <w:left w:w="0" w:type="dxa"/>
              <w:bottom w:w="0" w:type="dxa"/>
              <w:right w:w="0" w:type="dxa"/>
            </w:tcMar>
          </w:tcPr>
          <w:p w14:paraId="3B86E5FC" w14:textId="4FDCCF63" w:rsidR="00706DB1" w:rsidRPr="00EE39F3" w:rsidRDefault="001A6C5E" w:rsidP="00706DB1">
            <w:pPr>
              <w:rPr>
                <w:sz w:val="22"/>
                <w:szCs w:val="22"/>
              </w:rPr>
            </w:pPr>
            <w:r w:rsidRPr="00EE39F3">
              <w:rPr>
                <w:b/>
                <w:bCs/>
                <w:i/>
                <w:iCs/>
              </w:rPr>
              <w:t>Nơi nhận:</w:t>
            </w:r>
            <w:r w:rsidRPr="00EE39F3">
              <w:rPr>
                <w:b/>
                <w:bCs/>
                <w:i/>
                <w:iCs/>
                <w:sz w:val="28"/>
                <w:szCs w:val="28"/>
              </w:rPr>
              <w:br/>
            </w:r>
            <w:r w:rsidRPr="00EE39F3">
              <w:rPr>
                <w:sz w:val="22"/>
                <w:szCs w:val="22"/>
              </w:rPr>
              <w:t xml:space="preserve">- </w:t>
            </w:r>
            <w:r w:rsidR="00706DB1" w:rsidRPr="00EE39F3">
              <w:rPr>
                <w:sz w:val="22"/>
                <w:szCs w:val="22"/>
              </w:rPr>
              <w:t>Như trên;</w:t>
            </w:r>
            <w:r w:rsidRPr="00EE39F3">
              <w:rPr>
                <w:sz w:val="22"/>
                <w:szCs w:val="22"/>
              </w:rPr>
              <w:br/>
            </w:r>
            <w:r w:rsidR="00040B24" w:rsidRPr="00EE39F3">
              <w:rPr>
                <w:sz w:val="22"/>
                <w:szCs w:val="22"/>
              </w:rPr>
              <w:t>- Thường trực HĐND tỉnh;</w:t>
            </w:r>
          </w:p>
          <w:p w14:paraId="5191B9D1" w14:textId="1D8B8C3A" w:rsidR="00040B24" w:rsidRPr="00EE39F3" w:rsidRDefault="00040B24" w:rsidP="00574C09">
            <w:pPr>
              <w:rPr>
                <w:sz w:val="22"/>
                <w:szCs w:val="22"/>
              </w:rPr>
            </w:pPr>
            <w:r w:rsidRPr="00EE39F3">
              <w:rPr>
                <w:sz w:val="22"/>
                <w:szCs w:val="22"/>
              </w:rPr>
              <w:t xml:space="preserve">- </w:t>
            </w:r>
            <w:r w:rsidR="00100529" w:rsidRPr="00EE39F3">
              <w:rPr>
                <w:sz w:val="22"/>
                <w:szCs w:val="22"/>
              </w:rPr>
              <w:t>Các</w:t>
            </w:r>
            <w:r w:rsidRPr="00EE39F3">
              <w:rPr>
                <w:sz w:val="22"/>
                <w:szCs w:val="22"/>
              </w:rPr>
              <w:t xml:space="preserve"> PCT UBND tỉnh;</w:t>
            </w:r>
          </w:p>
          <w:p w14:paraId="2CBA6441" w14:textId="33225675" w:rsidR="001A6C5E" w:rsidRPr="00FB71CD" w:rsidRDefault="00040B24" w:rsidP="00E94519">
            <w:pPr>
              <w:rPr>
                <w:sz w:val="28"/>
                <w:szCs w:val="28"/>
              </w:rPr>
            </w:pPr>
            <w:r w:rsidRPr="00EE39F3">
              <w:rPr>
                <w:sz w:val="22"/>
                <w:szCs w:val="22"/>
              </w:rPr>
              <w:t>- Lãnh đạo VP UBND tỉnh;</w:t>
            </w:r>
            <w:r w:rsidR="001A6C5E" w:rsidRPr="00EE39F3">
              <w:rPr>
                <w:sz w:val="22"/>
                <w:szCs w:val="22"/>
              </w:rPr>
              <w:br/>
              <w:t>- Lưu: VT, NC</w:t>
            </w:r>
            <w:r w:rsidR="00100529" w:rsidRPr="00EE39F3">
              <w:rPr>
                <w:sz w:val="22"/>
                <w:szCs w:val="22"/>
              </w:rPr>
              <w:t>, SNV</w:t>
            </w:r>
            <w:r w:rsidR="001A6C5E" w:rsidRPr="00EE39F3">
              <w:rPr>
                <w:sz w:val="22"/>
                <w:szCs w:val="22"/>
              </w:rPr>
              <w:t>.</w:t>
            </w:r>
          </w:p>
        </w:tc>
        <w:tc>
          <w:tcPr>
            <w:tcW w:w="2142" w:type="pct"/>
            <w:tcBorders>
              <w:top w:val="nil"/>
              <w:left w:val="nil"/>
              <w:bottom w:val="nil"/>
              <w:right w:val="nil"/>
              <w:tl2br w:val="nil"/>
              <w:tr2bl w:val="nil"/>
            </w:tcBorders>
            <w:tcMar>
              <w:top w:w="0" w:type="dxa"/>
              <w:left w:w="0" w:type="dxa"/>
              <w:bottom w:w="0" w:type="dxa"/>
              <w:right w:w="0" w:type="dxa"/>
            </w:tcMar>
          </w:tcPr>
          <w:p w14:paraId="1F045B69" w14:textId="5260B9EE" w:rsidR="006D0608" w:rsidRDefault="006D0608" w:rsidP="006D0608">
            <w:pPr>
              <w:jc w:val="center"/>
              <w:rPr>
                <w:b/>
                <w:bCs/>
                <w:sz w:val="28"/>
                <w:szCs w:val="28"/>
              </w:rPr>
            </w:pPr>
            <w:r>
              <w:rPr>
                <w:b/>
                <w:bCs/>
                <w:sz w:val="28"/>
                <w:szCs w:val="28"/>
              </w:rPr>
              <w:t>TM. ỦY BAN NHÂN DÂN</w:t>
            </w:r>
          </w:p>
          <w:p w14:paraId="1DF8CBB8" w14:textId="1E320387" w:rsidR="001A6C5E" w:rsidRPr="00FB71CD" w:rsidRDefault="001A6C5E" w:rsidP="00E94519">
            <w:pPr>
              <w:jc w:val="center"/>
              <w:rPr>
                <w:sz w:val="28"/>
                <w:szCs w:val="28"/>
              </w:rPr>
            </w:pPr>
            <w:r w:rsidRPr="00FB71CD">
              <w:rPr>
                <w:b/>
                <w:bCs/>
                <w:sz w:val="28"/>
                <w:szCs w:val="28"/>
              </w:rPr>
              <w:t>CHỦ TỊCH</w:t>
            </w:r>
          </w:p>
        </w:tc>
      </w:tr>
    </w:tbl>
    <w:p w14:paraId="6577FF64" w14:textId="77777777" w:rsidR="001A6C5E" w:rsidRPr="00FB71CD" w:rsidRDefault="001A6C5E" w:rsidP="008C0D9F">
      <w:pPr>
        <w:ind w:firstLine="720"/>
        <w:jc w:val="both"/>
        <w:rPr>
          <w:rFonts w:eastAsiaTheme="minorEastAsia"/>
          <w:color w:val="000000"/>
          <w:kern w:val="2"/>
          <w:sz w:val="28"/>
          <w:szCs w:val="28"/>
          <w14:ligatures w14:val="standardContextual"/>
        </w:rPr>
      </w:pPr>
    </w:p>
    <w:sectPr w:rsidR="001A6C5E" w:rsidRPr="00FB71CD" w:rsidSect="00E46A00">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2BA28" w14:textId="77777777" w:rsidR="002E74B6" w:rsidRDefault="002E74B6" w:rsidP="00E46A00">
      <w:r>
        <w:separator/>
      </w:r>
    </w:p>
  </w:endnote>
  <w:endnote w:type="continuationSeparator" w:id="0">
    <w:p w14:paraId="690514FA" w14:textId="77777777" w:rsidR="002E74B6" w:rsidRDefault="002E74B6" w:rsidP="00E4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E29B" w14:textId="77777777" w:rsidR="002E74B6" w:rsidRDefault="002E74B6" w:rsidP="00E46A00">
      <w:r>
        <w:separator/>
      </w:r>
    </w:p>
  </w:footnote>
  <w:footnote w:type="continuationSeparator" w:id="0">
    <w:p w14:paraId="3219503D" w14:textId="77777777" w:rsidR="002E74B6" w:rsidRDefault="002E74B6" w:rsidP="00E46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404925"/>
      <w:docPartObj>
        <w:docPartGallery w:val="Page Numbers (Top of Page)"/>
        <w:docPartUnique/>
      </w:docPartObj>
    </w:sdtPr>
    <w:sdtEndPr>
      <w:rPr>
        <w:noProof/>
      </w:rPr>
    </w:sdtEndPr>
    <w:sdtContent>
      <w:p w14:paraId="649958A8" w14:textId="7A3D2048" w:rsidR="00E46A00" w:rsidRDefault="00E46A00">
        <w:pPr>
          <w:pStyle w:val="Header"/>
          <w:jc w:val="center"/>
        </w:pPr>
        <w:r>
          <w:fldChar w:fldCharType="begin"/>
        </w:r>
        <w:r>
          <w:instrText xml:space="preserve"> PAGE   \* MERGEFORMAT </w:instrText>
        </w:r>
        <w:r>
          <w:fldChar w:fldCharType="separate"/>
        </w:r>
        <w:r w:rsidR="008C0D9F">
          <w:rPr>
            <w:noProof/>
          </w:rPr>
          <w:t>4</w:t>
        </w:r>
        <w:r>
          <w:rPr>
            <w:noProof/>
          </w:rPr>
          <w:fldChar w:fldCharType="end"/>
        </w:r>
      </w:p>
    </w:sdtContent>
  </w:sdt>
  <w:p w14:paraId="00246D4B" w14:textId="77777777" w:rsidR="00E46A00" w:rsidRDefault="00E46A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B1"/>
    <w:rsid w:val="000362EF"/>
    <w:rsid w:val="00040B24"/>
    <w:rsid w:val="000725BC"/>
    <w:rsid w:val="000D4FCC"/>
    <w:rsid w:val="00100529"/>
    <w:rsid w:val="00145701"/>
    <w:rsid w:val="0018306C"/>
    <w:rsid w:val="001A6C5E"/>
    <w:rsid w:val="001E3063"/>
    <w:rsid w:val="001F1A25"/>
    <w:rsid w:val="00207284"/>
    <w:rsid w:val="00215AA8"/>
    <w:rsid w:val="00216C3E"/>
    <w:rsid w:val="00224925"/>
    <w:rsid w:val="00254DC7"/>
    <w:rsid w:val="00256E06"/>
    <w:rsid w:val="00264059"/>
    <w:rsid w:val="002B6289"/>
    <w:rsid w:val="002E20A5"/>
    <w:rsid w:val="002E74B6"/>
    <w:rsid w:val="002E76E3"/>
    <w:rsid w:val="003142E0"/>
    <w:rsid w:val="003313D9"/>
    <w:rsid w:val="003E4B70"/>
    <w:rsid w:val="003F314E"/>
    <w:rsid w:val="00422607"/>
    <w:rsid w:val="004761E7"/>
    <w:rsid w:val="00493A3F"/>
    <w:rsid w:val="004951A4"/>
    <w:rsid w:val="004E4C48"/>
    <w:rsid w:val="005301F7"/>
    <w:rsid w:val="0054691A"/>
    <w:rsid w:val="00547A82"/>
    <w:rsid w:val="00551369"/>
    <w:rsid w:val="00575EA8"/>
    <w:rsid w:val="00576A7E"/>
    <w:rsid w:val="00583805"/>
    <w:rsid w:val="0059600C"/>
    <w:rsid w:val="005C60B9"/>
    <w:rsid w:val="005E1D7E"/>
    <w:rsid w:val="00636E1D"/>
    <w:rsid w:val="0064710E"/>
    <w:rsid w:val="006A64AD"/>
    <w:rsid w:val="006D0295"/>
    <w:rsid w:val="006D0608"/>
    <w:rsid w:val="00706DB1"/>
    <w:rsid w:val="00707C4D"/>
    <w:rsid w:val="007C620F"/>
    <w:rsid w:val="007E75CC"/>
    <w:rsid w:val="007F0B56"/>
    <w:rsid w:val="00810E6A"/>
    <w:rsid w:val="00813166"/>
    <w:rsid w:val="00834CE3"/>
    <w:rsid w:val="008531F3"/>
    <w:rsid w:val="00867F76"/>
    <w:rsid w:val="00875CD7"/>
    <w:rsid w:val="00885656"/>
    <w:rsid w:val="008C0D9F"/>
    <w:rsid w:val="008D74F5"/>
    <w:rsid w:val="008E1254"/>
    <w:rsid w:val="00901E1C"/>
    <w:rsid w:val="0097721F"/>
    <w:rsid w:val="009E7762"/>
    <w:rsid w:val="00A55598"/>
    <w:rsid w:val="00AD7137"/>
    <w:rsid w:val="00AE48FE"/>
    <w:rsid w:val="00B53FD4"/>
    <w:rsid w:val="00B64C87"/>
    <w:rsid w:val="00B71B5D"/>
    <w:rsid w:val="00BB476B"/>
    <w:rsid w:val="00BC2A1E"/>
    <w:rsid w:val="00BE5FA0"/>
    <w:rsid w:val="00C74C91"/>
    <w:rsid w:val="00C92C91"/>
    <w:rsid w:val="00CD41D5"/>
    <w:rsid w:val="00CE645E"/>
    <w:rsid w:val="00D32503"/>
    <w:rsid w:val="00D466B1"/>
    <w:rsid w:val="00D50EDB"/>
    <w:rsid w:val="00D55372"/>
    <w:rsid w:val="00D74044"/>
    <w:rsid w:val="00D9469C"/>
    <w:rsid w:val="00DA7B86"/>
    <w:rsid w:val="00DD4472"/>
    <w:rsid w:val="00DD5046"/>
    <w:rsid w:val="00DF4276"/>
    <w:rsid w:val="00E0574B"/>
    <w:rsid w:val="00E21178"/>
    <w:rsid w:val="00E41A58"/>
    <w:rsid w:val="00E46A00"/>
    <w:rsid w:val="00E66E3E"/>
    <w:rsid w:val="00E83D6E"/>
    <w:rsid w:val="00E939AB"/>
    <w:rsid w:val="00E94519"/>
    <w:rsid w:val="00E97E4F"/>
    <w:rsid w:val="00EE01BE"/>
    <w:rsid w:val="00EE39F3"/>
    <w:rsid w:val="00F55A4B"/>
    <w:rsid w:val="00F6676E"/>
    <w:rsid w:val="00F73823"/>
    <w:rsid w:val="00F85B0B"/>
    <w:rsid w:val="00FA45FD"/>
    <w:rsid w:val="00FB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4128"/>
  <w15:chartTrackingRefBased/>
  <w15:docId w15:val="{48CC1449-7168-4E65-A61E-C2E75D3A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D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466B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66B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66B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66B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466B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466B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466B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466B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466B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6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6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6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6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6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6B1"/>
    <w:rPr>
      <w:rFonts w:eastAsiaTheme="majorEastAsia" w:cstheme="majorBidi"/>
      <w:color w:val="272727" w:themeColor="text1" w:themeTint="D8"/>
    </w:rPr>
  </w:style>
  <w:style w:type="paragraph" w:styleId="Title">
    <w:name w:val="Title"/>
    <w:basedOn w:val="Normal"/>
    <w:next w:val="Normal"/>
    <w:link w:val="TitleChar"/>
    <w:uiPriority w:val="10"/>
    <w:qFormat/>
    <w:rsid w:val="00D466B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6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6B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6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6B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466B1"/>
    <w:rPr>
      <w:i/>
      <w:iCs/>
      <w:color w:val="404040" w:themeColor="text1" w:themeTint="BF"/>
    </w:rPr>
  </w:style>
  <w:style w:type="paragraph" w:styleId="ListParagraph">
    <w:name w:val="List Paragraph"/>
    <w:basedOn w:val="Normal"/>
    <w:uiPriority w:val="34"/>
    <w:qFormat/>
    <w:rsid w:val="00D466B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466B1"/>
    <w:rPr>
      <w:i/>
      <w:iCs/>
      <w:color w:val="2F5496" w:themeColor="accent1" w:themeShade="BF"/>
    </w:rPr>
  </w:style>
  <w:style w:type="paragraph" w:styleId="IntenseQuote">
    <w:name w:val="Intense Quote"/>
    <w:basedOn w:val="Normal"/>
    <w:next w:val="Normal"/>
    <w:link w:val="IntenseQuoteChar"/>
    <w:uiPriority w:val="30"/>
    <w:qFormat/>
    <w:rsid w:val="00D466B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466B1"/>
    <w:rPr>
      <w:i/>
      <w:iCs/>
      <w:color w:val="2F5496" w:themeColor="accent1" w:themeShade="BF"/>
    </w:rPr>
  </w:style>
  <w:style w:type="character" w:styleId="IntenseReference">
    <w:name w:val="Intense Reference"/>
    <w:basedOn w:val="DefaultParagraphFont"/>
    <w:uiPriority w:val="32"/>
    <w:qFormat/>
    <w:rsid w:val="00D466B1"/>
    <w:rPr>
      <w:b/>
      <w:bCs/>
      <w:smallCaps/>
      <w:color w:val="2F5496" w:themeColor="accent1" w:themeShade="BF"/>
      <w:spacing w:val="5"/>
    </w:rPr>
  </w:style>
  <w:style w:type="paragraph" w:customStyle="1" w:styleId="nidungVB">
    <w:name w:val="nội dung VB"/>
    <w:basedOn w:val="Normal"/>
    <w:uiPriority w:val="99"/>
    <w:rsid w:val="003E4B70"/>
    <w:pPr>
      <w:widowControl w:val="0"/>
      <w:spacing w:after="120" w:line="400" w:lineRule="atLeast"/>
      <w:ind w:firstLine="567"/>
      <w:jc w:val="both"/>
    </w:pPr>
    <w:rPr>
      <w:rFonts w:eastAsia="Calibri"/>
      <w:sz w:val="28"/>
      <w:szCs w:val="28"/>
    </w:rPr>
  </w:style>
  <w:style w:type="character" w:customStyle="1" w:styleId="fontstyle01">
    <w:name w:val="fontstyle01"/>
    <w:rsid w:val="003E4B70"/>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E46A00"/>
    <w:pPr>
      <w:tabs>
        <w:tab w:val="center" w:pos="4680"/>
        <w:tab w:val="right" w:pos="9360"/>
      </w:tabs>
    </w:pPr>
  </w:style>
  <w:style w:type="character" w:customStyle="1" w:styleId="HeaderChar">
    <w:name w:val="Header Char"/>
    <w:basedOn w:val="DefaultParagraphFont"/>
    <w:link w:val="Header"/>
    <w:uiPriority w:val="99"/>
    <w:rsid w:val="00E46A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46A00"/>
    <w:pPr>
      <w:tabs>
        <w:tab w:val="center" w:pos="4680"/>
        <w:tab w:val="right" w:pos="9360"/>
      </w:tabs>
    </w:pPr>
  </w:style>
  <w:style w:type="character" w:customStyle="1" w:styleId="FooterChar">
    <w:name w:val="Footer Char"/>
    <w:basedOn w:val="DefaultParagraphFont"/>
    <w:link w:val="Footer"/>
    <w:uiPriority w:val="99"/>
    <w:rsid w:val="00E46A0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459D-9E0A-46B8-A670-28CDA36F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73</cp:revision>
  <dcterms:created xsi:type="dcterms:W3CDTF">2026-03-11T15:08:00Z</dcterms:created>
  <dcterms:modified xsi:type="dcterms:W3CDTF">2026-04-09T01:08:00Z</dcterms:modified>
</cp:coreProperties>
</file>