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2D00" w14:textId="77777777" w:rsidR="00640488" w:rsidRPr="002B62B9" w:rsidRDefault="00000000" w:rsidP="00EF0267">
      <w:pPr>
        <w:pStyle w:val="FirstParagraph"/>
        <w:widowControl w:val="0"/>
        <w:spacing w:before="120" w:after="0" w:line="360" w:lineRule="exact"/>
        <w:jc w:val="center"/>
        <w:rPr>
          <w:rFonts w:ascii="Times New Roman" w:hAnsi="Times New Roman" w:cs="Times New Roman"/>
          <w:b/>
          <w:bCs/>
          <w:sz w:val="28"/>
          <w:szCs w:val="28"/>
        </w:rPr>
      </w:pPr>
      <w:r w:rsidRPr="002B62B9">
        <w:rPr>
          <w:rFonts w:ascii="Times New Roman" w:hAnsi="Times New Roman" w:cs="Times New Roman"/>
          <w:b/>
          <w:bCs/>
          <w:sz w:val="28"/>
          <w:szCs w:val="28"/>
        </w:rPr>
        <w:t>THUYẾT MINH</w:t>
      </w:r>
    </w:p>
    <w:p w14:paraId="7F160FC5" w14:textId="77777777" w:rsidR="00640488" w:rsidRPr="002B62B9" w:rsidRDefault="00000000" w:rsidP="00EF0267">
      <w:pPr>
        <w:pStyle w:val="BodyText"/>
        <w:widowControl w:val="0"/>
        <w:spacing w:before="120" w:after="0" w:line="360" w:lineRule="exact"/>
        <w:jc w:val="center"/>
        <w:rPr>
          <w:rFonts w:ascii="Times New Roman" w:hAnsi="Times New Roman" w:cs="Times New Roman"/>
          <w:b/>
          <w:bCs/>
          <w:sz w:val="28"/>
          <w:szCs w:val="28"/>
        </w:rPr>
      </w:pPr>
      <w:r w:rsidRPr="002B62B9">
        <w:rPr>
          <w:rFonts w:ascii="Times New Roman" w:hAnsi="Times New Roman" w:cs="Times New Roman"/>
          <w:b/>
          <w:bCs/>
          <w:sz w:val="28"/>
          <w:szCs w:val="28"/>
        </w:rPr>
        <w:t>Dự thảo Nghị quyết của Hội đồng nhân dân tỉnh quy định chính sách trợ cấp, hỗ trợ đối với cán bộ, công chức, viên chức các cơ quan, đơn vị cấp tỉnh luân chuyển, điều động, tăng cường hỗ trợ Ủy ban nhân dân cấp xã thực hiện nhiệm vụ</w:t>
      </w:r>
    </w:p>
    <w:p w14:paraId="0C67F04E" w14:textId="77777777" w:rsidR="00640488" w:rsidRPr="002B62B9" w:rsidRDefault="00000000" w:rsidP="00EF0267">
      <w:pPr>
        <w:pStyle w:val="BodyText"/>
        <w:widowControl w:val="0"/>
        <w:spacing w:before="240" w:after="0" w:line="360" w:lineRule="exact"/>
        <w:ind w:firstLine="720"/>
        <w:jc w:val="both"/>
        <w:rPr>
          <w:rFonts w:ascii="Times New Roman" w:hAnsi="Times New Roman" w:cs="Times New Roman"/>
          <w:b/>
          <w:bCs/>
          <w:sz w:val="28"/>
          <w:szCs w:val="28"/>
        </w:rPr>
      </w:pPr>
      <w:r w:rsidRPr="002B62B9">
        <w:rPr>
          <w:rFonts w:ascii="Times New Roman" w:hAnsi="Times New Roman" w:cs="Times New Roman"/>
          <w:b/>
          <w:bCs/>
          <w:sz w:val="28"/>
          <w:szCs w:val="28"/>
        </w:rPr>
        <w:t>I. SỰ CẦN THIẾT BAN HÀNH NGHỊ QUYẾT</w:t>
      </w:r>
    </w:p>
    <w:p w14:paraId="0A7A9E01" w14:textId="77777777" w:rsidR="00640488" w:rsidRPr="002B62B9" w:rsidRDefault="00000000" w:rsidP="00EF0267">
      <w:pPr>
        <w:pStyle w:val="BodyText"/>
        <w:widowControl w:val="0"/>
        <w:spacing w:before="120" w:after="0" w:line="360" w:lineRule="exact"/>
        <w:ind w:firstLine="720"/>
        <w:jc w:val="both"/>
        <w:rPr>
          <w:rFonts w:ascii="Times New Roman" w:hAnsi="Times New Roman" w:cs="Times New Roman"/>
          <w:sz w:val="28"/>
          <w:szCs w:val="28"/>
        </w:rPr>
      </w:pPr>
      <w:r w:rsidRPr="002B62B9">
        <w:rPr>
          <w:rFonts w:ascii="Times New Roman" w:hAnsi="Times New Roman" w:cs="Times New Roman"/>
          <w:sz w:val="28"/>
          <w:szCs w:val="28"/>
        </w:rPr>
        <w:t>Từ ngày 01/7/2025, tỉnh Điện Biên thực hiện mô hình chính quyền địa phương 02 cấp và sắp xếp đơn vị hành chính cấp xã theo quy định. Sau sắp xếp, quy mô quản lý, phạm vi địa bàn, khối lượng công việc và yêu cầu thực hiện nhiệm vụ của Ủy ban nhân dân cấp xã tăng lên đáng kể. Trong khi đó, nhiều xã, phường còn thiếu nguồn nhân lực có trình độ chuyên môn, nghiệp vụ ở một số lĩnh vực, nhất là tài chính, đất đai, quy hoạch, công nghệ thông tin, cải cách hành chính và các lĩnh vực quản lý nhà nước khác.</w:t>
      </w:r>
    </w:p>
    <w:p w14:paraId="1D0C52A6" w14:textId="77777777" w:rsidR="00640488" w:rsidRPr="002B62B9" w:rsidRDefault="00000000" w:rsidP="00EF0267">
      <w:pPr>
        <w:pStyle w:val="BodyText"/>
        <w:widowControl w:val="0"/>
        <w:spacing w:before="120" w:after="0" w:line="360" w:lineRule="exact"/>
        <w:ind w:firstLine="720"/>
        <w:jc w:val="both"/>
        <w:rPr>
          <w:rFonts w:ascii="Times New Roman" w:hAnsi="Times New Roman" w:cs="Times New Roman"/>
          <w:sz w:val="28"/>
          <w:szCs w:val="28"/>
        </w:rPr>
      </w:pPr>
      <w:r w:rsidRPr="002B62B9">
        <w:rPr>
          <w:rFonts w:ascii="Times New Roman" w:hAnsi="Times New Roman" w:cs="Times New Roman"/>
          <w:sz w:val="28"/>
          <w:szCs w:val="28"/>
        </w:rPr>
        <w:t>Thực hiện chủ trương của Trung ương, của Tỉnh ủy về tiếp tục kiện toàn tổ chức bộ máy, nâng cao hiệu lực, hiệu quả hoạt động của chính quyền địa phương sau sắp xếp đơn vị hành chính, việc luân chuyển, điều động, tăng cường cán bộ, công chức, viên chức từ các cơ quan, đơn vị cấp tỉnh đến hỗ trợ Ủy ban nhân dân cấp xã thực hiện nhiệm vụ là yêu cầu khách quan nhằm kịp thời bổ sung nguồn nhân lực, nâng cao năng lực tham mưu, quản lý, điều hành và tổ chức thực hiện nhiệm vụ tại cơ sở.</w:t>
      </w:r>
    </w:p>
    <w:p w14:paraId="7CCB6C50" w14:textId="77777777" w:rsidR="00640488" w:rsidRPr="002B62B9" w:rsidRDefault="00000000" w:rsidP="00EF0267">
      <w:pPr>
        <w:pStyle w:val="BodyText"/>
        <w:widowControl w:val="0"/>
        <w:spacing w:before="120" w:after="0" w:line="360" w:lineRule="exact"/>
        <w:ind w:firstLine="720"/>
        <w:jc w:val="both"/>
        <w:rPr>
          <w:rFonts w:ascii="Times New Roman" w:hAnsi="Times New Roman" w:cs="Times New Roman"/>
          <w:sz w:val="28"/>
          <w:szCs w:val="28"/>
        </w:rPr>
      </w:pPr>
      <w:r w:rsidRPr="002B62B9">
        <w:rPr>
          <w:rFonts w:ascii="Times New Roman" w:hAnsi="Times New Roman" w:cs="Times New Roman"/>
          <w:sz w:val="28"/>
          <w:szCs w:val="28"/>
        </w:rPr>
        <w:t>Bên cạnh đó, thực tiễn triển khai công tác biệt phái công chức, viên chức đến công tác tại cấp xã thời gian qua cho thấy đội ngũ được cử đến công tác tại cơ sở thường gặp nhiều khó khăn về điều kiện đi lại, nơi ở, sinh hoạt, môi trường và điều kiện làm việc; nhiều trường hợp phải công tác xa nơi cư trú trong thời gian dài. Hiện nay chưa có cơ chế trợ cấp, hỗ trợ phù hợp để động viên, khuyến khích đội ngũ này yên tâm công tác, gắn bó và phát huy năng lực tại cơ sở.</w:t>
      </w:r>
    </w:p>
    <w:p w14:paraId="35A3D43D" w14:textId="421EA0AF" w:rsidR="00C86D57" w:rsidRPr="002B62B9" w:rsidRDefault="00000000" w:rsidP="00EF0267">
      <w:pPr>
        <w:pStyle w:val="BodyText"/>
        <w:widowControl w:val="0"/>
        <w:spacing w:before="120" w:after="0" w:line="360" w:lineRule="exact"/>
        <w:ind w:firstLine="720"/>
        <w:jc w:val="both"/>
        <w:rPr>
          <w:rFonts w:ascii="Times New Roman" w:hAnsi="Times New Roman" w:cs="Times New Roman"/>
          <w:sz w:val="28"/>
          <w:szCs w:val="28"/>
        </w:rPr>
      </w:pPr>
      <w:r w:rsidRPr="002B62B9">
        <w:rPr>
          <w:rFonts w:ascii="Times New Roman" w:hAnsi="Times New Roman" w:cs="Times New Roman"/>
          <w:sz w:val="28"/>
          <w:szCs w:val="28"/>
        </w:rPr>
        <w:t xml:space="preserve">Do đó, việc xây dựng Nghị quyết quy định chính sách trợ cấp, hỗ trợ đối với cán bộ, công chức, viên chức các cơ quan, đơn vị cấp tỉnh luân chuyển, điều động, tăng cường hỗ trợ Ủy ban nhân dân cấp xã thực hiện nhiệm vụ là cần thiết nhằm tạo cơ sở pháp lý để triển khai thực hiện thống nhất trên địa bàn tỉnh, </w:t>
      </w:r>
      <w:r w:rsidR="00C86D57" w:rsidRPr="002B62B9">
        <w:rPr>
          <w:rFonts w:ascii="Times New Roman" w:hAnsi="Times New Roman" w:cs="Times New Roman"/>
          <w:sz w:val="28"/>
          <w:szCs w:val="28"/>
        </w:rPr>
        <w:t>góp phần tăng cường nguồn nhân lực cho cơ sở, nâng cao chất lượng thực thi công vụ, hiệu lực, hiệu quả hoạt động của chính quyền cấp xã và bảo đảm thực hiện tốt các nhiệm vụ quản lý nhà nước, cung cấp dịch vụ công cho người dân, doanh nghiệp trên địa bàn</w:t>
      </w:r>
      <w:r w:rsidR="004B3E07" w:rsidRPr="002B62B9">
        <w:rPr>
          <w:rFonts w:ascii="Times New Roman" w:hAnsi="Times New Roman" w:cs="Times New Roman"/>
          <w:sz w:val="28"/>
          <w:szCs w:val="28"/>
        </w:rPr>
        <w:t>.</w:t>
      </w:r>
    </w:p>
    <w:p w14:paraId="675215B1" w14:textId="006173CB" w:rsidR="00640488" w:rsidRPr="002B62B9" w:rsidRDefault="00154B11" w:rsidP="00EF0267">
      <w:pPr>
        <w:pStyle w:val="BodyText"/>
        <w:widowControl w:val="0"/>
        <w:spacing w:before="120" w:after="0" w:line="360" w:lineRule="exact"/>
        <w:ind w:firstLine="720"/>
        <w:jc w:val="both"/>
        <w:rPr>
          <w:rFonts w:ascii="Times New Roman" w:hAnsi="Times New Roman" w:cs="Times New Roman"/>
          <w:b/>
          <w:bCs/>
          <w:sz w:val="28"/>
          <w:szCs w:val="28"/>
        </w:rPr>
      </w:pPr>
      <w:r w:rsidRPr="002B62B9">
        <w:rPr>
          <w:rFonts w:ascii="Times New Roman" w:hAnsi="Times New Roman" w:cs="Times New Roman"/>
          <w:b/>
          <w:bCs/>
          <w:sz w:val="28"/>
          <w:szCs w:val="28"/>
        </w:rPr>
        <w:t>II. THUYẾT MINH NỘI DUNG DỰ THẢO NGHỊ QUYẾT</w:t>
      </w:r>
    </w:p>
    <w:p w14:paraId="531717D8" w14:textId="77B87E2D" w:rsidR="00640488" w:rsidRPr="002B62B9" w:rsidRDefault="00596D69" w:rsidP="00EF0267">
      <w:pPr>
        <w:pStyle w:val="Compact"/>
        <w:widowControl w:val="0"/>
        <w:spacing w:before="120" w:after="0" w:line="360" w:lineRule="exact"/>
        <w:ind w:firstLine="720"/>
        <w:jc w:val="both"/>
        <w:rPr>
          <w:rFonts w:ascii="Times New Roman" w:hAnsi="Times New Roman" w:cs="Times New Roman"/>
          <w:b/>
          <w:bCs/>
          <w:sz w:val="28"/>
          <w:szCs w:val="28"/>
        </w:rPr>
      </w:pPr>
      <w:r w:rsidRPr="002B62B9">
        <w:rPr>
          <w:rFonts w:ascii="Times New Roman" w:hAnsi="Times New Roman" w:cs="Times New Roman"/>
          <w:b/>
          <w:bCs/>
          <w:sz w:val="28"/>
          <w:szCs w:val="28"/>
        </w:rPr>
        <w:t>1. Phạm vi điều chỉnh</w:t>
      </w:r>
    </w:p>
    <w:p w14:paraId="25728E74" w14:textId="77777777" w:rsidR="00BD4EB3" w:rsidRPr="002B62B9" w:rsidRDefault="00BD4EB3"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lastRenderedPageBreak/>
        <w:t>Dự thảo Nghị quyết quy định chính sách trợ cấp, hỗ trợ đối với cán bộ, công chức, viên chức các cơ quan, đơn vị cấp tỉnh được luân chuyển, điều động, tăng cường hỗ trợ Ủy ban nhân dân cấp xã thực hiện nhiệm vụ theo kế hoạch được cấp có thẩm quyền phê duyệt.</w:t>
      </w:r>
    </w:p>
    <w:p w14:paraId="36CFD07B" w14:textId="77777777" w:rsidR="00BD4EB3" w:rsidRPr="002B62B9" w:rsidRDefault="00BD4EB3"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Việc xác định phạm vi điều chỉnh theo hướng nêu trên xuất phát từ yêu cầu thực tiễn hiện nay của tỉnh. Qua rà soát nhu cầu và thực trạng đội ngũ cán bộ, công chức, viên chức tại cấp xã cho thấy nhu cầu bổ sung nguồn nhân lực hiện nay chủ yếu tập trung ở khối chính quyền, đặc biệt là các vị trí trực tiếp tham mưu, tổ chức thực hiện chức năng quản lý nhà nước và giải quyết công việc thuộc thẩm quyền của Ủy ban nhân dân cấp xã. Trong khi đó, các cơ quan trong hệ thống chính trị ở cấp xã cơ bản đã được bố trí, sắp xếp tổ chức bộ máy và nhân sự theo quy định.</w:t>
      </w:r>
    </w:p>
    <w:p w14:paraId="5D7DDE71" w14:textId="77777777" w:rsidR="00BD4EB3" w:rsidRPr="002B62B9" w:rsidRDefault="00BD4EB3"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Do đó, dự thảo Nghị quyết chỉ tập trung điều chỉnh đối với trường hợp cán bộ, công chức, viên chức được luân chuyển, điều động, tăng cường hỗ trợ Ủy ban nhân dân cấp xã thực hiện nhiệm vụ nhằm tập trung nguồn lực giải quyết những khó khăn, vướng mắc về nhân sự tại khối chính quyền cơ sở, bảo đảm phù hợp với nhu cầu thực tiễn và khả năng cân đối nguồn lực của địa phương.</w:t>
      </w:r>
    </w:p>
    <w:p w14:paraId="76834EBD" w14:textId="46B5F7A1" w:rsidR="00640488" w:rsidRPr="002B62B9" w:rsidRDefault="00937F5D" w:rsidP="00EF0267">
      <w:pPr>
        <w:pStyle w:val="Compact"/>
        <w:widowControl w:val="0"/>
        <w:spacing w:before="120" w:after="0" w:line="360" w:lineRule="exact"/>
        <w:ind w:firstLine="720"/>
        <w:jc w:val="both"/>
        <w:rPr>
          <w:rFonts w:ascii="Times New Roman" w:hAnsi="Times New Roman" w:cs="Times New Roman"/>
          <w:b/>
          <w:bCs/>
          <w:sz w:val="28"/>
          <w:szCs w:val="28"/>
        </w:rPr>
      </w:pPr>
      <w:r w:rsidRPr="002B62B9">
        <w:rPr>
          <w:rFonts w:ascii="Times New Roman" w:hAnsi="Times New Roman" w:cs="Times New Roman"/>
          <w:b/>
          <w:bCs/>
          <w:sz w:val="28"/>
          <w:szCs w:val="28"/>
        </w:rPr>
        <w:t>2. Đối tượng áp dụng</w:t>
      </w:r>
    </w:p>
    <w:p w14:paraId="4449ED12" w14:textId="77777777" w:rsidR="0023209D" w:rsidRPr="002B62B9" w:rsidRDefault="0023209D"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Dự thảo Nghị quyết quy định đối tượng áp dụng là cán bộ, công chức, viên chức các cơ quan, đơn vị cấp tỉnh được luân chuyển, điều động, tăng cường hỗ trợ Ủy ban nhân dân cấp xã thực hiện nhiệm vụ theo kế hoạch được cấp có thẩm quyền phê duyệt và các cơ quan, đơn vị, tổ chức, cá nhân có liên quan đến việc thực hiện chính sách.</w:t>
      </w:r>
    </w:p>
    <w:p w14:paraId="78CCFED9" w14:textId="77777777" w:rsidR="007D34D9" w:rsidRPr="002B62B9" w:rsidRDefault="0023209D"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Việc xác định đối tượng áp dụng như trên nhằm bảo đảm thống nhất với phạm vi điều chỉnh của Nghị quyết và xuất phát từ nhu cầu thực tế về tăng cường nguồn nhân lực cho khối chính quyền cấp xã trong giai đoạn hiện nay. Chính sách không áp dụng đối với toàn bộ hệ thống chính trị cấp xã mà tập trung vào các trường hợp được cử đến hỗ trợ Ủy ban nhân dân cấp xã thực hiện nhiệm vụ, bởi đây là nhóm đối tượng trực tiếp tham gia thực hiện chức năng quản lý nhà nước, giải quyết thủ tục hành chính và các nhiệm vụ phát sinh sau khi thực hiện mô hình chính quyền địa phương 02 cấp. Việc quy định như vậy vừa bảo đảm đúng mục tiêu của chính sách, vừa tập trung nguồn lực ngân sách vào những lĩnh vực, địa bàn đang có nhu cầu cấp thiết về nhân sự.</w:t>
      </w:r>
    </w:p>
    <w:p w14:paraId="3689794A" w14:textId="06A7F96C" w:rsidR="00640488" w:rsidRPr="002B62B9" w:rsidRDefault="007D34D9" w:rsidP="00EF0267">
      <w:pPr>
        <w:pStyle w:val="NormalWeb"/>
        <w:widowControl w:val="0"/>
        <w:spacing w:before="120" w:beforeAutospacing="0" w:after="0" w:afterAutospacing="0" w:line="360" w:lineRule="exact"/>
        <w:ind w:firstLine="720"/>
        <w:jc w:val="both"/>
        <w:rPr>
          <w:b/>
          <w:bCs/>
          <w:sz w:val="28"/>
          <w:szCs w:val="28"/>
        </w:rPr>
      </w:pPr>
      <w:r w:rsidRPr="002B62B9">
        <w:rPr>
          <w:b/>
          <w:bCs/>
          <w:sz w:val="28"/>
          <w:szCs w:val="28"/>
        </w:rPr>
        <w:t>3. Chính sách trợ cấp, hỗ trợ</w:t>
      </w:r>
    </w:p>
    <w:p w14:paraId="23A3319D" w14:textId="2E3E173E" w:rsidR="006F0407" w:rsidRPr="002B62B9" w:rsidRDefault="00FB4A16" w:rsidP="00EF0267">
      <w:pPr>
        <w:pStyle w:val="Heading3"/>
        <w:widowControl w:val="0"/>
        <w:spacing w:before="120" w:after="0" w:line="360" w:lineRule="exact"/>
        <w:ind w:firstLine="720"/>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3.</w:t>
      </w:r>
      <w:r w:rsidR="006F0407" w:rsidRPr="002B62B9">
        <w:rPr>
          <w:rFonts w:ascii="Times New Roman" w:eastAsia="Times New Roman" w:hAnsi="Times New Roman" w:cs="Times New Roman"/>
          <w:b/>
          <w:bCs/>
          <w:color w:val="auto"/>
        </w:rPr>
        <w:t>1. Chính sách trợ cấp một lần</w:t>
      </w:r>
    </w:p>
    <w:p w14:paraId="46B32ACD" w14:textId="77777777" w:rsidR="006F0407" w:rsidRPr="006F0407" w:rsidRDefault="006F0407" w:rsidP="00EF0267">
      <w:pPr>
        <w:widowControl w:val="0"/>
        <w:spacing w:before="120" w:after="0" w:line="360" w:lineRule="exact"/>
        <w:ind w:firstLine="720"/>
        <w:jc w:val="both"/>
        <w:outlineLvl w:val="3"/>
        <w:rPr>
          <w:rFonts w:ascii="Times New Roman" w:eastAsia="Times New Roman" w:hAnsi="Times New Roman" w:cs="Times New Roman"/>
          <w:b/>
          <w:bCs/>
          <w:sz w:val="28"/>
          <w:szCs w:val="28"/>
        </w:rPr>
      </w:pPr>
      <w:r w:rsidRPr="006F0407">
        <w:rPr>
          <w:rFonts w:ascii="Times New Roman" w:eastAsia="Times New Roman" w:hAnsi="Times New Roman" w:cs="Times New Roman"/>
          <w:b/>
          <w:bCs/>
          <w:sz w:val="28"/>
          <w:szCs w:val="28"/>
        </w:rPr>
        <w:t>a) Đối với cán bộ, công chức thuộc đối tượng hưởng chính sách theo Nghị định số 76/2019/NĐ-CP</w:t>
      </w:r>
    </w:p>
    <w:p w14:paraId="627DE159" w14:textId="77777777" w:rsidR="006F0407" w:rsidRPr="006F0407" w:rsidRDefault="006F0407" w:rsidP="00EF0267">
      <w:pPr>
        <w:widowControl w:val="0"/>
        <w:spacing w:before="120" w:after="0" w:line="360" w:lineRule="exact"/>
        <w:ind w:firstLine="720"/>
        <w:jc w:val="both"/>
        <w:rPr>
          <w:rFonts w:ascii="Times New Roman" w:eastAsia="Times New Roman" w:hAnsi="Times New Roman" w:cs="Times New Roman"/>
          <w:sz w:val="28"/>
          <w:szCs w:val="28"/>
        </w:rPr>
      </w:pPr>
      <w:r w:rsidRPr="006F0407">
        <w:rPr>
          <w:rFonts w:ascii="Times New Roman" w:eastAsia="Times New Roman" w:hAnsi="Times New Roman" w:cs="Times New Roman"/>
          <w:sz w:val="28"/>
          <w:szCs w:val="28"/>
        </w:rPr>
        <w:lastRenderedPageBreak/>
        <w:t>Dự thảo Nghị quyết quy định tiếp tục thực hiện theo quy định của Nghị định số 76/2019/NĐ-CP. Việc quy định nội dung này nhằm xác định rõ các trường hợp đã được hưởng chính sách trợ cấp lần đầu theo quy định của Trung ương, bảo đảm không trùng lặp chế độ, chính sách đối với cùng một nội dung hỗ trợ.</w:t>
      </w:r>
    </w:p>
    <w:p w14:paraId="123AFC3C" w14:textId="77777777" w:rsidR="006F0407" w:rsidRPr="006F0407" w:rsidRDefault="006F0407" w:rsidP="00EF0267">
      <w:pPr>
        <w:widowControl w:val="0"/>
        <w:spacing w:before="120" w:after="0" w:line="360" w:lineRule="exact"/>
        <w:ind w:firstLine="720"/>
        <w:jc w:val="both"/>
        <w:outlineLvl w:val="3"/>
        <w:rPr>
          <w:rFonts w:ascii="Times New Roman" w:eastAsia="Times New Roman" w:hAnsi="Times New Roman" w:cs="Times New Roman"/>
          <w:b/>
          <w:bCs/>
          <w:sz w:val="28"/>
          <w:szCs w:val="28"/>
        </w:rPr>
      </w:pPr>
      <w:r w:rsidRPr="006F0407">
        <w:rPr>
          <w:rFonts w:ascii="Times New Roman" w:eastAsia="Times New Roman" w:hAnsi="Times New Roman" w:cs="Times New Roman"/>
          <w:b/>
          <w:bCs/>
          <w:sz w:val="28"/>
          <w:szCs w:val="28"/>
        </w:rPr>
        <w:t>b) Đối với viên chức thuộc đối tượng hưởng chính sách theo Nghị định số 178/2024/NĐ-CP</w:t>
      </w:r>
    </w:p>
    <w:p w14:paraId="7BEB48A9" w14:textId="77777777" w:rsidR="006F0407" w:rsidRPr="006F0407" w:rsidRDefault="006F0407" w:rsidP="00EF0267">
      <w:pPr>
        <w:widowControl w:val="0"/>
        <w:spacing w:before="120" w:after="0" w:line="360" w:lineRule="exact"/>
        <w:ind w:firstLine="720"/>
        <w:jc w:val="both"/>
        <w:rPr>
          <w:rFonts w:ascii="Times New Roman" w:eastAsia="Times New Roman" w:hAnsi="Times New Roman" w:cs="Times New Roman"/>
          <w:sz w:val="28"/>
          <w:szCs w:val="28"/>
        </w:rPr>
      </w:pPr>
      <w:r w:rsidRPr="006F0407">
        <w:rPr>
          <w:rFonts w:ascii="Times New Roman" w:eastAsia="Times New Roman" w:hAnsi="Times New Roman" w:cs="Times New Roman"/>
          <w:sz w:val="28"/>
          <w:szCs w:val="28"/>
        </w:rPr>
        <w:t>Dự thảo Nghị quyết quy định tiếp tục thực hiện theo Nghị định số 178/2024/NĐ-CP. Đây là nhóm đối tượng đã được Trung ương quy định chế độ trợ cấp một lần khi được tăng cường đến công tác tại cơ sở; do đó không đặt ra chính sách hỗ trợ bổ sung của tỉnh nhằm tránh chồng chéo, bảo đảm sử dụng ngân sách tiết kiệm, hiệu quả.</w:t>
      </w:r>
    </w:p>
    <w:p w14:paraId="333AEAE2" w14:textId="77777777" w:rsidR="00AE7780" w:rsidRPr="00AE7780" w:rsidRDefault="00AE7780" w:rsidP="00AE7780">
      <w:pPr>
        <w:pStyle w:val="NormalWeb"/>
        <w:spacing w:before="120" w:beforeAutospacing="0" w:after="0" w:afterAutospacing="0" w:line="360" w:lineRule="exact"/>
        <w:ind w:firstLine="720"/>
        <w:jc w:val="both"/>
        <w:rPr>
          <w:sz w:val="28"/>
          <w:szCs w:val="28"/>
        </w:rPr>
      </w:pPr>
      <w:r w:rsidRPr="00AE7780">
        <w:rPr>
          <w:rStyle w:val="Strong"/>
          <w:sz w:val="28"/>
          <w:szCs w:val="28"/>
        </w:rPr>
        <w:t>c) Đối với cán bộ, công chức không thuộc đối tượng hưởng chính sách theo Nghị định số 76/2019/NĐ-CP và Nghị định số 178/2024/NĐ-CP</w:t>
      </w:r>
    </w:p>
    <w:p w14:paraId="7651A449" w14:textId="77777777" w:rsidR="00AE7780" w:rsidRPr="00AE7780" w:rsidRDefault="00AE7780" w:rsidP="00AE7780">
      <w:pPr>
        <w:pStyle w:val="NormalWeb"/>
        <w:spacing w:before="120" w:beforeAutospacing="0" w:after="0" w:afterAutospacing="0" w:line="360" w:lineRule="exact"/>
        <w:ind w:firstLine="720"/>
        <w:jc w:val="both"/>
        <w:rPr>
          <w:sz w:val="28"/>
          <w:szCs w:val="28"/>
        </w:rPr>
      </w:pPr>
      <w:r w:rsidRPr="00AE7780">
        <w:rPr>
          <w:sz w:val="28"/>
          <w:szCs w:val="28"/>
        </w:rPr>
        <w:t>Dự thảo Nghị quyết quy định cán bộ, công chức được luân chuyển, điều động hỗ trợ Ủy ban nhân dân cấp xã thực hiện nhiệm vụ mà không thuộc đối tượng hưởng chính sách trợ cấp một lần theo quy định của Nghị định số 76/2019/NĐ-CP và Nghị định số 178/2024/NĐ-CP thì được hưởng trợ cấp một lần bằng 10 tháng lương cơ sở.</w:t>
      </w:r>
    </w:p>
    <w:p w14:paraId="35186999" w14:textId="77777777" w:rsidR="00AE7780" w:rsidRPr="00AE7780" w:rsidRDefault="00AE7780" w:rsidP="00AE7780">
      <w:pPr>
        <w:pStyle w:val="NormalWeb"/>
        <w:spacing w:before="120" w:beforeAutospacing="0" w:after="0" w:afterAutospacing="0" w:line="360" w:lineRule="exact"/>
        <w:ind w:firstLine="720"/>
        <w:jc w:val="both"/>
        <w:rPr>
          <w:sz w:val="28"/>
          <w:szCs w:val="28"/>
        </w:rPr>
      </w:pPr>
      <w:r w:rsidRPr="00AE7780">
        <w:rPr>
          <w:sz w:val="28"/>
          <w:szCs w:val="28"/>
        </w:rPr>
        <w:t>Việc quy định nội dung này nhằm bảo đảm bao quát đầy đủ các đối tượng được luân chuyển, điều động hỗ trợ Ủy ban nhân dân cấp xã thực hiện nhiệm vụ nhưng chưa thuộc phạm vi điều chỉnh của các chính sách trợ cấp một lần do Trung ương quy định.</w:t>
      </w:r>
    </w:p>
    <w:p w14:paraId="0497EDC6" w14:textId="77777777" w:rsidR="00AE7780" w:rsidRPr="00AE7780" w:rsidRDefault="00AE7780" w:rsidP="00AE7780">
      <w:pPr>
        <w:pStyle w:val="NormalWeb"/>
        <w:spacing w:before="120" w:beforeAutospacing="0" w:after="0" w:afterAutospacing="0" w:line="360" w:lineRule="exact"/>
        <w:ind w:firstLine="720"/>
        <w:jc w:val="both"/>
        <w:rPr>
          <w:sz w:val="28"/>
          <w:szCs w:val="28"/>
        </w:rPr>
      </w:pPr>
      <w:r w:rsidRPr="00AE7780">
        <w:rPr>
          <w:sz w:val="28"/>
          <w:szCs w:val="28"/>
        </w:rPr>
        <w:t>Đối với cán bộ, công chức, Luật Cán bộ, công chức năm 2025 và các văn bản hướng dẫn thi hành quy định các hình thức luân chuyển, điều động và biệt phái; không quy định hình thức "tăng cường". Do đó, trong quá trình tổ chức thực hiện chủ trương tăng cường nguồn nhân lực cho cấp xã, việc bố trí cán bộ, công chức đến hỗ trợ Ủy ban nhân dân cấp xã được thực hiện thông qua các hình thức luân chuyển, điều động hoặc biệt phái theo quy định của pháp luật.</w:t>
      </w:r>
    </w:p>
    <w:p w14:paraId="53897A94" w14:textId="77777777" w:rsidR="00AE7780" w:rsidRPr="00AE7780" w:rsidRDefault="00AE7780" w:rsidP="00AE7780">
      <w:pPr>
        <w:pStyle w:val="NormalWeb"/>
        <w:spacing w:before="120" w:beforeAutospacing="0" w:after="0" w:afterAutospacing="0" w:line="360" w:lineRule="exact"/>
        <w:ind w:firstLine="720"/>
        <w:jc w:val="both"/>
        <w:rPr>
          <w:sz w:val="28"/>
          <w:szCs w:val="28"/>
        </w:rPr>
      </w:pPr>
      <w:r w:rsidRPr="00AE7780">
        <w:rPr>
          <w:sz w:val="28"/>
          <w:szCs w:val="28"/>
        </w:rPr>
        <w:t>Thực tiễn cho thấy, khi được cử đến hỗ trợ Ủy ban nhân dân cấp xã, cán bộ, công chức thường phát sinh các chi phí ban đầu liên quan đến việc di chuyển, bố trí nơi ở, ổn định điều kiện sinh hoạt và công tác tại địa bàn mới. Vì vậy, việc quy định trợ cấp một lần bằng 10 tháng lương cơ sở là cần thiết nhằm tạo điều kiện để cán bộ, công chức sớm ổn định công tác, yên tâm thực hiện nhiệm vụ được giao.</w:t>
      </w:r>
    </w:p>
    <w:p w14:paraId="5C305BB4" w14:textId="77777777" w:rsidR="00AE7780" w:rsidRPr="00AE7780" w:rsidRDefault="00AE7780" w:rsidP="00AE7780">
      <w:pPr>
        <w:pStyle w:val="NormalWeb"/>
        <w:spacing w:before="120" w:beforeAutospacing="0" w:after="0" w:afterAutospacing="0" w:line="360" w:lineRule="exact"/>
        <w:ind w:firstLine="720"/>
        <w:jc w:val="both"/>
        <w:rPr>
          <w:sz w:val="28"/>
          <w:szCs w:val="28"/>
        </w:rPr>
      </w:pPr>
      <w:r w:rsidRPr="00AE7780">
        <w:rPr>
          <w:sz w:val="28"/>
          <w:szCs w:val="28"/>
        </w:rPr>
        <w:t xml:space="preserve">Việc xây dựng chính sách theo hướng kế thừa các quy định hiện hành của Trung ương đối với các đối tượng đã được hưởng chế độ trợ cấp một lần, đồng thời bổ sung chính sách đối với các trường hợp chưa thuộc phạm vi điều chỉnh </w:t>
      </w:r>
      <w:r w:rsidRPr="00AE7780">
        <w:rPr>
          <w:sz w:val="28"/>
          <w:szCs w:val="28"/>
        </w:rPr>
        <w:lastRenderedPageBreak/>
        <w:t>nhằm bảo đảm tính đồng bộ, thống nhất, công bằng trong thực hiện chính sách; tránh bỏ sót đối tượng và góp phần nâng cao hiệu quả công tác luân chuyển, điều động cán bộ, công chức hỗ trợ Ủy ban nhân dân cấp xã thực hiện nhiệm vụ.</w:t>
      </w:r>
    </w:p>
    <w:p w14:paraId="5A29BC15" w14:textId="6B0E2C57" w:rsidR="006F0407" w:rsidRPr="006F0407" w:rsidRDefault="00165AB6" w:rsidP="00EF0267">
      <w:pPr>
        <w:widowControl w:val="0"/>
        <w:spacing w:before="120" w:after="0" w:line="360" w:lineRule="exact"/>
        <w:ind w:firstLine="720"/>
        <w:jc w:val="both"/>
        <w:rPr>
          <w:rFonts w:ascii="Times New Roman" w:eastAsia="Times New Roman" w:hAnsi="Times New Roman" w:cs="Times New Roman"/>
          <w:b/>
          <w:bCs/>
          <w:sz w:val="28"/>
          <w:szCs w:val="28"/>
        </w:rPr>
      </w:pPr>
      <w:r>
        <w:rPr>
          <w:rFonts w:ascii="Times New Roman" w:hAnsi="Times New Roman" w:cs="Times New Roman"/>
          <w:b/>
          <w:bCs/>
          <w:sz w:val="28"/>
          <w:szCs w:val="28"/>
        </w:rPr>
        <w:t>3.</w:t>
      </w:r>
      <w:r w:rsidR="006F0407" w:rsidRPr="002B62B9">
        <w:rPr>
          <w:rFonts w:ascii="Times New Roman" w:hAnsi="Times New Roman" w:cs="Times New Roman"/>
          <w:b/>
          <w:bCs/>
          <w:sz w:val="28"/>
          <w:szCs w:val="28"/>
        </w:rPr>
        <w:t>2. Chính sách hỗ trợ sinh hoạt phí h</w:t>
      </w:r>
      <w:r w:rsidR="00D71006" w:rsidRPr="002B62B9">
        <w:rPr>
          <w:rFonts w:ascii="Times New Roman" w:hAnsi="Times New Roman" w:cs="Times New Roman"/>
          <w:b/>
          <w:bCs/>
          <w:sz w:val="28"/>
          <w:szCs w:val="28"/>
        </w:rPr>
        <w:t>à</w:t>
      </w:r>
      <w:r w:rsidR="006F0407" w:rsidRPr="002B62B9">
        <w:rPr>
          <w:rFonts w:ascii="Times New Roman" w:hAnsi="Times New Roman" w:cs="Times New Roman"/>
          <w:b/>
          <w:bCs/>
          <w:sz w:val="28"/>
          <w:szCs w:val="28"/>
        </w:rPr>
        <w:t>ng tháng</w:t>
      </w:r>
    </w:p>
    <w:p w14:paraId="0495B911" w14:textId="20CDBD6B" w:rsidR="006E3479" w:rsidRPr="002B62B9" w:rsidRDefault="006F0407" w:rsidP="00EF0267">
      <w:pPr>
        <w:widowControl w:val="0"/>
        <w:spacing w:before="120" w:after="0" w:line="360" w:lineRule="exact"/>
        <w:ind w:firstLine="720"/>
        <w:jc w:val="both"/>
        <w:rPr>
          <w:rFonts w:ascii="Times New Roman" w:eastAsia="Times New Roman" w:hAnsi="Times New Roman" w:cs="Times New Roman"/>
          <w:sz w:val="28"/>
          <w:szCs w:val="28"/>
        </w:rPr>
      </w:pPr>
      <w:r w:rsidRPr="006F0407">
        <w:rPr>
          <w:rFonts w:ascii="Times New Roman" w:eastAsia="Times New Roman" w:hAnsi="Times New Roman" w:cs="Times New Roman"/>
          <w:sz w:val="28"/>
          <w:szCs w:val="28"/>
        </w:rPr>
        <w:t>Dự thảo Nghị quyết quy định hỗ trợ sinh hoạt phí h</w:t>
      </w:r>
      <w:r w:rsidR="00D71006" w:rsidRPr="002B62B9">
        <w:rPr>
          <w:rFonts w:ascii="Times New Roman" w:eastAsia="Times New Roman" w:hAnsi="Times New Roman" w:cs="Times New Roman"/>
          <w:sz w:val="28"/>
          <w:szCs w:val="28"/>
        </w:rPr>
        <w:t>à</w:t>
      </w:r>
      <w:r w:rsidRPr="006F0407">
        <w:rPr>
          <w:rFonts w:ascii="Times New Roman" w:eastAsia="Times New Roman" w:hAnsi="Times New Roman" w:cs="Times New Roman"/>
          <w:sz w:val="28"/>
          <w:szCs w:val="28"/>
        </w:rPr>
        <w:t xml:space="preserve">ng tháng đối với cán bộ, công chức, viên chức được luân chuyển, điều động, tăng cường </w:t>
      </w:r>
      <w:r w:rsidR="00163888">
        <w:rPr>
          <w:rFonts w:ascii="Times New Roman" w:eastAsia="Times New Roman" w:hAnsi="Times New Roman" w:cs="Times New Roman"/>
          <w:sz w:val="28"/>
          <w:szCs w:val="28"/>
        </w:rPr>
        <w:t xml:space="preserve">hỗ trợ </w:t>
      </w:r>
      <w:r w:rsidRPr="006F0407">
        <w:rPr>
          <w:rFonts w:ascii="Times New Roman" w:eastAsia="Times New Roman" w:hAnsi="Times New Roman" w:cs="Times New Roman"/>
          <w:sz w:val="28"/>
          <w:szCs w:val="28"/>
        </w:rPr>
        <w:t>Ủy ban nhân dân cấp xã, cụ thể:</w:t>
      </w:r>
    </w:p>
    <w:p w14:paraId="2F5CD37F" w14:textId="5D34D3E1" w:rsidR="006E3479" w:rsidRPr="002B62B9" w:rsidRDefault="0025085F" w:rsidP="00EF0267">
      <w:pPr>
        <w:widowControl w:val="0"/>
        <w:spacing w:before="120" w:after="0" w:line="360" w:lineRule="exact"/>
        <w:ind w:firstLine="720"/>
        <w:jc w:val="both"/>
        <w:rPr>
          <w:rFonts w:ascii="Times New Roman" w:eastAsia="Times New Roman" w:hAnsi="Times New Roman" w:cs="Times New Roman"/>
          <w:sz w:val="28"/>
          <w:szCs w:val="28"/>
        </w:rPr>
      </w:pPr>
      <w:r w:rsidRPr="002B62B9">
        <w:rPr>
          <w:rFonts w:ascii="Times New Roman" w:eastAsia="Times New Roman" w:hAnsi="Times New Roman" w:cs="Times New Roman"/>
          <w:sz w:val="28"/>
          <w:szCs w:val="28"/>
        </w:rPr>
        <w:t>a)</w:t>
      </w:r>
      <w:r w:rsidR="006E3479" w:rsidRPr="002B62B9">
        <w:rPr>
          <w:rFonts w:ascii="Times New Roman" w:eastAsia="Times New Roman" w:hAnsi="Times New Roman" w:cs="Times New Roman"/>
          <w:sz w:val="28"/>
          <w:szCs w:val="28"/>
        </w:rPr>
        <w:t xml:space="preserve"> </w:t>
      </w:r>
      <w:r w:rsidR="006F0407" w:rsidRPr="006F0407">
        <w:rPr>
          <w:rFonts w:ascii="Times New Roman" w:eastAsia="Times New Roman" w:hAnsi="Times New Roman" w:cs="Times New Roman"/>
          <w:sz w:val="28"/>
          <w:szCs w:val="28"/>
        </w:rPr>
        <w:t xml:space="preserve">Hỗ trợ sinh hoạt phí 3.000.000 đồng/người/tháng đối với trường hợp công tác tại địa bàn có điều kiện kinh tế - xã hội đặc biệt khó khăn. </w:t>
      </w:r>
    </w:p>
    <w:p w14:paraId="24E69B46" w14:textId="5294DE28" w:rsidR="006F0407" w:rsidRPr="006F0407" w:rsidRDefault="004A3B44" w:rsidP="00EF0267">
      <w:pPr>
        <w:widowControl w:val="0"/>
        <w:spacing w:before="120" w:after="0" w:line="360" w:lineRule="exact"/>
        <w:ind w:firstLine="720"/>
        <w:jc w:val="both"/>
        <w:rPr>
          <w:rFonts w:ascii="Times New Roman" w:eastAsia="Times New Roman" w:hAnsi="Times New Roman" w:cs="Times New Roman"/>
          <w:sz w:val="28"/>
          <w:szCs w:val="28"/>
        </w:rPr>
      </w:pPr>
      <w:r w:rsidRPr="002B62B9">
        <w:rPr>
          <w:rFonts w:ascii="Times New Roman" w:eastAsia="Times New Roman" w:hAnsi="Times New Roman" w:cs="Times New Roman"/>
          <w:sz w:val="28"/>
          <w:szCs w:val="28"/>
        </w:rPr>
        <w:t>b)</w:t>
      </w:r>
      <w:r w:rsidR="006E3479" w:rsidRPr="002B62B9">
        <w:rPr>
          <w:rFonts w:ascii="Times New Roman" w:eastAsia="Times New Roman" w:hAnsi="Times New Roman" w:cs="Times New Roman"/>
          <w:sz w:val="28"/>
          <w:szCs w:val="28"/>
        </w:rPr>
        <w:t xml:space="preserve"> </w:t>
      </w:r>
      <w:r w:rsidR="006F0407" w:rsidRPr="006F0407">
        <w:rPr>
          <w:rFonts w:ascii="Times New Roman" w:eastAsia="Times New Roman" w:hAnsi="Times New Roman" w:cs="Times New Roman"/>
          <w:sz w:val="28"/>
          <w:szCs w:val="28"/>
        </w:rPr>
        <w:t xml:space="preserve">Hỗ trợ sinh hoạt phí 2.000.000 đồng/người/tháng đối với trường hợp công tác tại các địa bàn còn lại. </w:t>
      </w:r>
    </w:p>
    <w:p w14:paraId="3DDF9C14" w14:textId="6673C84D" w:rsidR="006F0407" w:rsidRPr="006F0407" w:rsidRDefault="006F0407" w:rsidP="00EF0267">
      <w:pPr>
        <w:widowControl w:val="0"/>
        <w:spacing w:before="120" w:after="0" w:line="360" w:lineRule="exact"/>
        <w:ind w:firstLine="720"/>
        <w:jc w:val="both"/>
        <w:rPr>
          <w:rFonts w:ascii="Times New Roman" w:eastAsia="Times New Roman" w:hAnsi="Times New Roman" w:cs="Times New Roman"/>
          <w:sz w:val="28"/>
          <w:szCs w:val="28"/>
        </w:rPr>
      </w:pPr>
      <w:r w:rsidRPr="006F0407">
        <w:rPr>
          <w:rFonts w:ascii="Times New Roman" w:eastAsia="Times New Roman" w:hAnsi="Times New Roman" w:cs="Times New Roman"/>
          <w:sz w:val="28"/>
          <w:szCs w:val="28"/>
        </w:rPr>
        <w:t xml:space="preserve">Chính sách hỗ trợ sinh hoạt phí </w:t>
      </w:r>
      <w:r w:rsidR="00D71006" w:rsidRPr="002B62B9">
        <w:rPr>
          <w:rFonts w:ascii="Times New Roman" w:eastAsia="Times New Roman" w:hAnsi="Times New Roman" w:cs="Times New Roman"/>
          <w:sz w:val="28"/>
          <w:szCs w:val="28"/>
        </w:rPr>
        <w:t>hàng tháng</w:t>
      </w:r>
      <w:r w:rsidRPr="006F0407">
        <w:rPr>
          <w:rFonts w:ascii="Times New Roman" w:eastAsia="Times New Roman" w:hAnsi="Times New Roman" w:cs="Times New Roman"/>
          <w:sz w:val="28"/>
          <w:szCs w:val="28"/>
        </w:rPr>
        <w:t xml:space="preserve"> được xây dựng nhằm hỗ trợ một phần chi phí phát sinh trong thời gian cán bộ, công chức, viên chức được luân chuyển, điều động, tăng cường đến công tác tại cấp xã. Thực tiễn cho thấy việc bố trí cán bộ, công chức, viên chức từ các cơ quan, đơn vị cấp tỉnh đến công tác tại cơ sở thường làm phát sinh các khoản chi phí liên quan đến đi lại, ăn ở, sinh hoạt và ổn định điều kiện công tác tại địa bàn mới, nhất là đối với các xã vùng sâu, vùng xa, biên giới và địa bàn có điều kiện kinh tế - xã hội đặc biệt khó khăn.</w:t>
      </w:r>
    </w:p>
    <w:p w14:paraId="46738854" w14:textId="77777777" w:rsidR="006F0407" w:rsidRPr="006F0407" w:rsidRDefault="006F0407" w:rsidP="00EF0267">
      <w:pPr>
        <w:widowControl w:val="0"/>
        <w:spacing w:before="120" w:after="0" w:line="360" w:lineRule="exact"/>
        <w:ind w:firstLine="720"/>
        <w:jc w:val="both"/>
        <w:rPr>
          <w:rFonts w:ascii="Times New Roman" w:eastAsia="Times New Roman" w:hAnsi="Times New Roman" w:cs="Times New Roman"/>
          <w:sz w:val="28"/>
          <w:szCs w:val="28"/>
        </w:rPr>
      </w:pPr>
      <w:r w:rsidRPr="006F0407">
        <w:rPr>
          <w:rFonts w:ascii="Times New Roman" w:eastAsia="Times New Roman" w:hAnsi="Times New Roman" w:cs="Times New Roman"/>
          <w:sz w:val="28"/>
          <w:szCs w:val="28"/>
        </w:rPr>
        <w:t>Khoản hỗ trợ này không mang tính chất tiền lương, phụ cấp hoặc khoản thu nhập bổ sung thường xuyên mà là chính sách hỗ trợ có tính chất động viên, khuyến khích, góp phần chia sẻ một phần khó khăn trong quá trình công tác tại cơ sở, tạo điều kiện để cán bộ, công chức, viên chức yên tâm công tác, phát huy năng lực, kinh nghiệm và nâng cao trách nhiệm trong thực hiện nhiệm vụ được giao.</w:t>
      </w:r>
    </w:p>
    <w:p w14:paraId="5941C8EB" w14:textId="77777777" w:rsidR="006F0407" w:rsidRPr="006F0407" w:rsidRDefault="006F0407" w:rsidP="00EF0267">
      <w:pPr>
        <w:widowControl w:val="0"/>
        <w:spacing w:before="120" w:after="0" w:line="360" w:lineRule="exact"/>
        <w:ind w:firstLine="720"/>
        <w:jc w:val="both"/>
        <w:rPr>
          <w:rFonts w:ascii="Times New Roman" w:eastAsia="Times New Roman" w:hAnsi="Times New Roman" w:cs="Times New Roman"/>
          <w:sz w:val="28"/>
          <w:szCs w:val="28"/>
        </w:rPr>
      </w:pPr>
      <w:r w:rsidRPr="006F0407">
        <w:rPr>
          <w:rFonts w:ascii="Times New Roman" w:eastAsia="Times New Roman" w:hAnsi="Times New Roman" w:cs="Times New Roman"/>
          <w:sz w:val="28"/>
          <w:szCs w:val="28"/>
        </w:rPr>
        <w:t>Việc quy định 02 mức hỗ trợ khác nhau được xây dựng trên cơ sở phân loại địa bàn theo mức độ khó khăn và điều kiện thực tế của từng địa phương. Trong đó, mức hỗ trợ cao hơn được áp dụng đối với các xã có điều kiện kinh tế - xã hội đặc biệt khó khăn nhằm phản ánh sự khác biệt về điều kiện công tác, sinh hoạt và yêu cầu thực hiện nhiệm vụ tại các địa bàn này; đồng thời thể hiện sự ưu tiên của tỉnh trong việc thu hút, duy trì và ổn định nguồn nhân lực hỗ trợ hoạt động của chính quyền cấp xã ở những địa bàn còn nhiều khó khăn.</w:t>
      </w:r>
    </w:p>
    <w:p w14:paraId="4BC5C75F" w14:textId="77777777" w:rsidR="006F0407" w:rsidRPr="002B62B9" w:rsidRDefault="006F0407" w:rsidP="00EF0267">
      <w:pPr>
        <w:widowControl w:val="0"/>
        <w:spacing w:before="120" w:after="0" w:line="360" w:lineRule="exact"/>
        <w:ind w:firstLine="720"/>
        <w:jc w:val="both"/>
        <w:rPr>
          <w:rFonts w:ascii="Times New Roman" w:eastAsia="Times New Roman" w:hAnsi="Times New Roman" w:cs="Times New Roman"/>
          <w:sz w:val="28"/>
          <w:szCs w:val="28"/>
        </w:rPr>
      </w:pPr>
      <w:r w:rsidRPr="006F0407">
        <w:rPr>
          <w:rFonts w:ascii="Times New Roman" w:eastAsia="Times New Roman" w:hAnsi="Times New Roman" w:cs="Times New Roman"/>
          <w:sz w:val="28"/>
          <w:szCs w:val="28"/>
        </w:rPr>
        <w:t>Mức hỗ trợ được xác định trên cơ sở cân nhắc giữa nhu cầu thực tiễn, yêu cầu động viên, khuyến khích cán bộ, công chức, viên chức nhận nhiệm vụ tại cơ sở và khả năng cân đối ngân sách của địa phương, bảo đảm tính khả thi, ổn định và bền vững trong quá trình tổ chức thực hiện chính sách.</w:t>
      </w:r>
    </w:p>
    <w:p w14:paraId="001ED366" w14:textId="5E84B471" w:rsidR="00F23231" w:rsidRPr="002B62B9" w:rsidRDefault="00111655" w:rsidP="00EF0267">
      <w:pPr>
        <w:pStyle w:val="NormalWeb"/>
        <w:widowControl w:val="0"/>
        <w:spacing w:before="120" w:beforeAutospacing="0" w:after="0" w:afterAutospacing="0" w:line="360" w:lineRule="exact"/>
        <w:ind w:firstLine="720"/>
        <w:jc w:val="both"/>
        <w:rPr>
          <w:sz w:val="28"/>
          <w:szCs w:val="28"/>
        </w:rPr>
      </w:pPr>
      <w:r>
        <w:rPr>
          <w:rStyle w:val="Strong"/>
          <w:sz w:val="28"/>
          <w:szCs w:val="28"/>
        </w:rPr>
        <w:t>3.</w:t>
      </w:r>
      <w:r w:rsidR="00F23231" w:rsidRPr="002B62B9">
        <w:rPr>
          <w:rStyle w:val="Strong"/>
          <w:sz w:val="28"/>
          <w:szCs w:val="28"/>
        </w:rPr>
        <w:t>3. Điều kiện hưởng và nguyên tắc thực hiện</w:t>
      </w:r>
    </w:p>
    <w:p w14:paraId="39A0A4A8" w14:textId="77777777" w:rsidR="00F23231" w:rsidRPr="002B62B9" w:rsidRDefault="00F23231"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 xml:space="preserve">Dự thảo Nghị quyết quy định chính sách trợ cấp, hỗ trợ được thực hiện kể từ thời điểm quyết định luân chuyển, điều động, tăng cường của cơ quan có thẩm </w:t>
      </w:r>
      <w:r w:rsidRPr="002B62B9">
        <w:rPr>
          <w:sz w:val="28"/>
          <w:szCs w:val="28"/>
        </w:rPr>
        <w:lastRenderedPageBreak/>
        <w:t>quyền có hiệu lực thi hành nhằm bảo đảm thống nhất với thời điểm cán bộ, công chức, viên chức chính thức nhận nhiệm vụ tại địa bàn công tác mới.</w:t>
      </w:r>
    </w:p>
    <w:p w14:paraId="62D98823" w14:textId="77777777" w:rsidR="00F23231" w:rsidRPr="002B62B9" w:rsidRDefault="00F23231"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Đối với chính sách hỗ trợ sinh hoạt phí hằng tháng, thời gian hưởng được xác định theo thời gian thực tế công tác tại Ủy ban nhân dân cấp xã nhưng tối đa không quá 03 năm. Việc quy định thời gian hỗ trợ có giới hạn nhằm bảo đảm chính sách tập trung hỗ trợ giai đoạn đầu khi cán bộ, công chức, viên chức phát sinh nhiều khó khăn trong việc ổn định nơi ở, sinh hoạt và điều kiện công tác; đồng thời phù hợp với tính chất của hoạt động luân chuyển, điều động, tăng cường và khả năng cân đối ngân sách của địa phương.</w:t>
      </w:r>
    </w:p>
    <w:p w14:paraId="4E489D67" w14:textId="77777777" w:rsidR="00F23231" w:rsidRPr="002B62B9" w:rsidRDefault="00F23231"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Dự thảo Nghị quyết quy định mỗi cán bộ, công chức, viên chức chỉ được hưởng một chính sách trợ cấp một lần nhằm bảo đảm nguyên tắc không hưởng trùng chế độ, chính sách có cùng tính chất hỗ trợ; bảo đảm công bằng giữa các đối tượng thụ hưởng và sử dụng ngân sách nhà nước tiết kiệm, hiệu quả.</w:t>
      </w:r>
    </w:p>
    <w:p w14:paraId="52CB4777" w14:textId="77777777" w:rsidR="00F23231" w:rsidRPr="002B62B9" w:rsidRDefault="00F23231"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Điều kiện về thời gian công tác để được hưởng chính sách trợ cấp, hỗ trợ và việc hoàn trả kinh phí trong trường hợp không bảo đảm thời gian công tác theo quy định được thực hiện theo quy định của Trung ương và hướng dẫn của Ủy ban nhân dân tỉnh nhằm bảo đảm thống nhất trong tổ chức thực hiện, đồng thời nâng cao trách nhiệm của cán bộ, công chức, viên chức khi được cử đến công tác tại cấp xã.</w:t>
      </w:r>
    </w:p>
    <w:p w14:paraId="41E09926" w14:textId="1612BB6B" w:rsidR="00F23231" w:rsidRPr="00BF43A5" w:rsidRDefault="00E04188" w:rsidP="00EF0267">
      <w:pPr>
        <w:pStyle w:val="Heading3"/>
        <w:widowControl w:val="0"/>
        <w:spacing w:before="120" w:after="0" w:line="360" w:lineRule="exact"/>
        <w:ind w:firstLine="720"/>
        <w:jc w:val="both"/>
        <w:rPr>
          <w:rFonts w:ascii="Times New Roman" w:hAnsi="Times New Roman" w:cs="Times New Roman"/>
          <w:b/>
          <w:bCs/>
          <w:color w:val="auto"/>
        </w:rPr>
      </w:pPr>
      <w:r>
        <w:rPr>
          <w:rFonts w:ascii="Times New Roman" w:hAnsi="Times New Roman" w:cs="Times New Roman"/>
          <w:b/>
          <w:bCs/>
          <w:color w:val="auto"/>
        </w:rPr>
        <w:t>III</w:t>
      </w:r>
      <w:r w:rsidR="00F23231" w:rsidRPr="00BF43A5">
        <w:rPr>
          <w:rFonts w:ascii="Times New Roman" w:hAnsi="Times New Roman" w:cs="Times New Roman"/>
          <w:b/>
          <w:bCs/>
          <w:color w:val="auto"/>
        </w:rPr>
        <w:t>. DỰ KIẾN KINH PHÍ THỰC HIỆN</w:t>
      </w:r>
    </w:p>
    <w:p w14:paraId="2BA7A2C4" w14:textId="77777777" w:rsidR="00F37212" w:rsidRDefault="00530F6E" w:rsidP="00F37212">
      <w:pPr>
        <w:spacing w:before="120" w:after="0" w:line="360" w:lineRule="exact"/>
        <w:ind w:firstLine="720"/>
        <w:jc w:val="both"/>
        <w:rPr>
          <w:rFonts w:ascii="Times New Roman" w:eastAsia="Times New Roman" w:hAnsi="Times New Roman" w:cs="Times New Roman"/>
          <w:sz w:val="28"/>
          <w:szCs w:val="28"/>
        </w:rPr>
      </w:pPr>
      <w:r w:rsidRPr="00530F6E">
        <w:rPr>
          <w:rFonts w:ascii="Times New Roman" w:eastAsia="Times New Roman" w:hAnsi="Times New Roman" w:cs="Times New Roman"/>
        </w:rPr>
        <w:t>C</w:t>
      </w:r>
      <w:r w:rsidRPr="00530F6E">
        <w:rPr>
          <w:rFonts w:ascii="Times New Roman" w:eastAsia="Times New Roman" w:hAnsi="Times New Roman" w:cs="Times New Roman"/>
          <w:sz w:val="28"/>
          <w:szCs w:val="28"/>
        </w:rPr>
        <w:t>ăn cứ nhu cầu dự kiến luân chuyển, điều động, tăng cường 53 cán bộ, công chức, viên chức đến hỗ trợ Ủy ban nhân dân cấp xã thực hiện nhiệm vụ; trong đó có 48 người công tác tại các xã có điều kiện kinh tế - xã hội đặc biệt khó khăn và 05 người công tác tại các xã, phường còn lại, tổng kinh phí dự kiến thực hiện chính sách là 6.</w:t>
      </w:r>
      <w:r w:rsidRPr="00530F6E">
        <w:rPr>
          <w:rFonts w:ascii="Times New Roman" w:eastAsia="Times New Roman" w:hAnsi="Times New Roman" w:cs="Times New Roman"/>
          <w:b/>
          <w:bCs/>
          <w:sz w:val="28"/>
          <w:szCs w:val="28"/>
        </w:rPr>
        <w:t>784.200.000</w:t>
      </w:r>
      <w:r w:rsidRPr="00530F6E">
        <w:rPr>
          <w:rFonts w:ascii="Times New Roman" w:eastAsia="Times New Roman" w:hAnsi="Times New Roman" w:cs="Times New Roman"/>
          <w:sz w:val="28"/>
          <w:szCs w:val="28"/>
        </w:rPr>
        <w:t xml:space="preserve"> đồng, gồm:</w:t>
      </w:r>
    </w:p>
    <w:p w14:paraId="45AD7E0E" w14:textId="4C7E3CB3" w:rsidR="00530F6E" w:rsidRPr="00530F6E" w:rsidRDefault="00F37212" w:rsidP="00F37212">
      <w:pPr>
        <w:spacing w:before="120" w:after="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530F6E" w:rsidRPr="00530F6E">
        <w:rPr>
          <w:rFonts w:ascii="Times New Roman" w:eastAsia="Times New Roman" w:hAnsi="Times New Roman" w:cs="Times New Roman"/>
          <w:sz w:val="28"/>
          <w:szCs w:val="28"/>
        </w:rPr>
        <w:t xml:space="preserve">Kinh phí thực hiện chính sách trợ cấp một lần: </w:t>
      </w:r>
      <w:r w:rsidR="00530F6E" w:rsidRPr="00530F6E">
        <w:rPr>
          <w:rFonts w:ascii="Times New Roman" w:eastAsia="Times New Roman" w:hAnsi="Times New Roman" w:cs="Times New Roman"/>
          <w:b/>
          <w:bCs/>
          <w:sz w:val="28"/>
          <w:szCs w:val="28"/>
        </w:rPr>
        <w:t>1.240.200.000</w:t>
      </w:r>
      <w:r w:rsidR="00530F6E" w:rsidRPr="00530F6E">
        <w:rPr>
          <w:rFonts w:ascii="Times New Roman" w:eastAsia="Times New Roman" w:hAnsi="Times New Roman" w:cs="Times New Roman"/>
          <w:sz w:val="28"/>
          <w:szCs w:val="28"/>
        </w:rPr>
        <w:t xml:space="preserve"> đồng.</w:t>
      </w:r>
    </w:p>
    <w:p w14:paraId="0F2A7418" w14:textId="77777777" w:rsidR="00A95BF2" w:rsidRDefault="00530F6E" w:rsidP="00A95BF2">
      <w:pPr>
        <w:spacing w:before="120" w:after="0" w:line="360" w:lineRule="exact"/>
        <w:ind w:firstLine="720"/>
        <w:jc w:val="both"/>
        <w:rPr>
          <w:rFonts w:ascii="Times New Roman" w:eastAsia="Times New Roman" w:hAnsi="Times New Roman" w:cs="Times New Roman"/>
          <w:sz w:val="28"/>
          <w:szCs w:val="28"/>
        </w:rPr>
      </w:pPr>
      <w:r w:rsidRPr="00530F6E">
        <w:rPr>
          <w:rFonts w:ascii="Times New Roman" w:eastAsia="Times New Roman" w:hAnsi="Times New Roman" w:cs="Times New Roman"/>
          <w:sz w:val="28"/>
          <w:szCs w:val="28"/>
        </w:rPr>
        <w:t>Kinh phí trợ cấp một lần được xác định trên cơ sở 53 cán bộ, công chức, viên chức dự kiến được luân chuyển, điều động, tăng cường hỗ trợ Ủy ban nhân dân cấp xã thực hiện nhiệm vụ. Theo phương án chính sách được đề xuất, các đối tượng này đều được hưởng trợ cấp một lần bằng 10 tháng lương cơ sở theo quy định của Trung ương hoặc theo quy định tại Nghị quyết này.</w:t>
      </w:r>
    </w:p>
    <w:p w14:paraId="74BF8E28" w14:textId="3C5FDE60" w:rsidR="00530F6E" w:rsidRPr="00530F6E" w:rsidRDefault="00A95BF2" w:rsidP="00A95BF2">
      <w:pPr>
        <w:spacing w:before="120" w:after="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530F6E" w:rsidRPr="00530F6E">
        <w:rPr>
          <w:rFonts w:ascii="Times New Roman" w:eastAsia="Times New Roman" w:hAnsi="Times New Roman" w:cs="Times New Roman"/>
          <w:sz w:val="28"/>
          <w:szCs w:val="28"/>
        </w:rPr>
        <w:t>Kinh phí thực hiện chính sách hỗ trợ sinh hoạt phí hằng tháng trong thời gian 36 tháng (03 năm): 5</w:t>
      </w:r>
      <w:r w:rsidR="00530F6E" w:rsidRPr="00530F6E">
        <w:rPr>
          <w:rFonts w:ascii="Times New Roman" w:eastAsia="Times New Roman" w:hAnsi="Times New Roman" w:cs="Times New Roman"/>
          <w:b/>
          <w:bCs/>
          <w:sz w:val="28"/>
          <w:szCs w:val="28"/>
        </w:rPr>
        <w:t>.544.000.000</w:t>
      </w:r>
      <w:r w:rsidR="00530F6E" w:rsidRPr="00530F6E">
        <w:rPr>
          <w:rFonts w:ascii="Times New Roman" w:eastAsia="Times New Roman" w:hAnsi="Times New Roman" w:cs="Times New Roman"/>
          <w:sz w:val="28"/>
          <w:szCs w:val="28"/>
        </w:rPr>
        <w:t xml:space="preserve"> đồng.</w:t>
      </w:r>
    </w:p>
    <w:p w14:paraId="73BD7A48" w14:textId="77777777" w:rsidR="00530F6E" w:rsidRPr="00530F6E" w:rsidRDefault="00530F6E" w:rsidP="00530F6E">
      <w:pPr>
        <w:spacing w:before="120" w:after="0" w:line="360" w:lineRule="exact"/>
        <w:ind w:firstLine="720"/>
        <w:jc w:val="both"/>
        <w:rPr>
          <w:rFonts w:ascii="Times New Roman" w:eastAsia="Times New Roman" w:hAnsi="Times New Roman" w:cs="Times New Roman"/>
          <w:sz w:val="28"/>
          <w:szCs w:val="28"/>
        </w:rPr>
      </w:pPr>
      <w:r w:rsidRPr="00530F6E">
        <w:rPr>
          <w:rFonts w:ascii="Times New Roman" w:eastAsia="Times New Roman" w:hAnsi="Times New Roman" w:cs="Times New Roman"/>
          <w:sz w:val="28"/>
          <w:szCs w:val="28"/>
        </w:rPr>
        <w:t xml:space="preserve">Kinh phí nêu trên được xác định trên cơ sở nhu cầu dự kiến về số lượng cán bộ, công chức, viên chức được luân chuyển, điều động, tăng cường hỗ trợ Ủy ban nhân dân cấp xã thực hiện nhiệm vụ tại thời điểm xây dựng dự thảo Nghị quyết. Số lượng cán bộ, công chức, viên chức thực tế được cử đến công tác có thể thay </w:t>
      </w:r>
      <w:r w:rsidRPr="00530F6E">
        <w:rPr>
          <w:rFonts w:ascii="Times New Roman" w:eastAsia="Times New Roman" w:hAnsi="Times New Roman" w:cs="Times New Roman"/>
          <w:sz w:val="28"/>
          <w:szCs w:val="28"/>
        </w:rPr>
        <w:lastRenderedPageBreak/>
        <w:t>đổi theo yêu cầu nhiệm vụ và kế hoạch được cấp có thẩm quyền phê duyệt trong từng năm.</w:t>
      </w:r>
    </w:p>
    <w:p w14:paraId="47090FC5" w14:textId="77777777" w:rsidR="00530F6E" w:rsidRPr="00530F6E" w:rsidRDefault="00530F6E" w:rsidP="00530F6E">
      <w:pPr>
        <w:spacing w:before="120" w:after="0" w:line="360" w:lineRule="exact"/>
        <w:ind w:firstLine="720"/>
        <w:jc w:val="both"/>
        <w:rPr>
          <w:rFonts w:ascii="Times New Roman" w:eastAsia="Times New Roman" w:hAnsi="Times New Roman" w:cs="Times New Roman"/>
          <w:sz w:val="28"/>
          <w:szCs w:val="28"/>
        </w:rPr>
      </w:pPr>
      <w:r w:rsidRPr="00530F6E">
        <w:rPr>
          <w:rFonts w:ascii="Times New Roman" w:eastAsia="Times New Roman" w:hAnsi="Times New Roman" w:cs="Times New Roman"/>
          <w:sz w:val="28"/>
          <w:szCs w:val="28"/>
        </w:rPr>
        <w:t>Kinh phí thực hiện chính sách trợ cấp một lần được xác định theo mức lương cơ sở do Chính phủ quy định tại thời điểm thực hiện chính sách. Kinh phí hỗ trợ sinh hoạt phí hằng tháng được xác định trên cơ sở số lượng cán bộ, công chức, viên chức thực tế được luân chuyển, điều động, tăng cường và mức hỗ trợ quy định tại Nghị quyết này.</w:t>
      </w:r>
    </w:p>
    <w:p w14:paraId="41AEDCE5" w14:textId="77777777" w:rsidR="00530F6E" w:rsidRPr="00530F6E" w:rsidRDefault="00530F6E" w:rsidP="00530F6E">
      <w:pPr>
        <w:spacing w:before="120" w:after="0" w:line="360" w:lineRule="exact"/>
        <w:ind w:firstLine="720"/>
        <w:jc w:val="both"/>
        <w:rPr>
          <w:rFonts w:ascii="Times New Roman" w:eastAsia="Times New Roman" w:hAnsi="Times New Roman" w:cs="Times New Roman"/>
          <w:sz w:val="28"/>
          <w:szCs w:val="28"/>
        </w:rPr>
      </w:pPr>
      <w:r w:rsidRPr="00530F6E">
        <w:rPr>
          <w:rFonts w:ascii="Times New Roman" w:eastAsia="Times New Roman" w:hAnsi="Times New Roman" w:cs="Times New Roman"/>
          <w:sz w:val="28"/>
          <w:szCs w:val="28"/>
        </w:rPr>
        <w:t>Kinh phí thực hiện chính sách do ngân sách cấp tỉnh bảo đảm và được bố trí trong dự toán chi ngân sách hằng năm theo quy định của pháp luật về ngân sách nhà nước; đối với các trường hợp thực hiện chính sách trợ cấp theo quy định của Trung ương thì kinh phí thực hiện theo quy định của Trung ương.</w:t>
      </w:r>
    </w:p>
    <w:p w14:paraId="6C5D1F58" w14:textId="77777777" w:rsidR="00530F6E" w:rsidRPr="00530F6E" w:rsidRDefault="00530F6E" w:rsidP="00530F6E">
      <w:pPr>
        <w:spacing w:before="120" w:after="0" w:line="360" w:lineRule="exact"/>
        <w:ind w:firstLine="720"/>
        <w:jc w:val="both"/>
        <w:rPr>
          <w:rFonts w:ascii="Times New Roman" w:eastAsia="Times New Roman" w:hAnsi="Times New Roman" w:cs="Times New Roman"/>
          <w:sz w:val="28"/>
          <w:szCs w:val="28"/>
        </w:rPr>
      </w:pPr>
      <w:r w:rsidRPr="00530F6E">
        <w:rPr>
          <w:rFonts w:ascii="Times New Roman" w:eastAsia="Times New Roman" w:hAnsi="Times New Roman" w:cs="Times New Roman"/>
          <w:sz w:val="28"/>
          <w:szCs w:val="28"/>
        </w:rPr>
        <w:t>Với quy mô kinh phí dự kiến nêu trên, chính sách phù hợp với khả năng cân đối ngân sách của tỉnh và bảo đảm tính khả thi trong quá trình tổ chức thực hiện.</w:t>
      </w:r>
    </w:p>
    <w:p w14:paraId="6F526187" w14:textId="45432001" w:rsidR="00F23231" w:rsidRPr="0044181B" w:rsidRDefault="004E79B2" w:rsidP="00EF0267">
      <w:pPr>
        <w:pStyle w:val="Heading3"/>
        <w:widowControl w:val="0"/>
        <w:spacing w:before="120" w:after="0" w:line="360" w:lineRule="exact"/>
        <w:ind w:firstLine="720"/>
        <w:jc w:val="both"/>
        <w:rPr>
          <w:rFonts w:ascii="Times New Roman" w:hAnsi="Times New Roman" w:cs="Times New Roman"/>
          <w:b/>
          <w:bCs/>
          <w:color w:val="auto"/>
        </w:rPr>
      </w:pPr>
      <w:r>
        <w:rPr>
          <w:rFonts w:ascii="Times New Roman" w:hAnsi="Times New Roman" w:cs="Times New Roman"/>
          <w:b/>
          <w:bCs/>
          <w:color w:val="auto"/>
        </w:rPr>
        <w:t>I</w:t>
      </w:r>
      <w:r w:rsidR="00F23231" w:rsidRPr="0044181B">
        <w:rPr>
          <w:rFonts w:ascii="Times New Roman" w:hAnsi="Times New Roman" w:cs="Times New Roman"/>
          <w:b/>
          <w:bCs/>
          <w:color w:val="auto"/>
        </w:rPr>
        <w:t>V. TÍNH HỢP HIẾN, HỢP PHÁP, TÍNH THỐNG NHẤT CỦA DỰ THẢO NGHỊ QUYẾT</w:t>
      </w:r>
    </w:p>
    <w:p w14:paraId="46746849" w14:textId="77777777" w:rsidR="00F23231" w:rsidRPr="002B62B9" w:rsidRDefault="00F23231"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 xml:space="preserve">Qua rà soát các quy định của pháp luật hiện hành, dự thảo Nghị quyết được xây dựng thuộc thẩm quyền ban hành của Hội đồng nhân dân tỉnh theo quy định của Luật Tổ chức chính quyền địa phương, Luật Ban hành văn bản quy phạm pháp luật, Luật Ngân sách nhà nước, Nghị quyết số 76/2025/UBTVQH15 của Ủy ban Thường vụ Quốc hội và các quy định pháp luật có liên quan. </w:t>
      </w:r>
    </w:p>
    <w:p w14:paraId="7AD19640" w14:textId="77777777" w:rsidR="00F23231" w:rsidRPr="002B62B9" w:rsidRDefault="00F23231"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Nội dung dự thảo Nghị quyết được xây dựng trên cơ sở kế thừa, bảo đảm thống nhất với các quy định hiện hành của Trung ương về chế độ, chính sách đối với cán bộ, công chức, viên chức được cử đến công tác tại cơ sở; đồng thời cụ thể hóa cơ chế, chính sách hỗ trợ phù hợp với điều kiện thực tiễn của tỉnh Điện Biên theo thẩm quyền của địa phương.</w:t>
      </w:r>
    </w:p>
    <w:p w14:paraId="557E1E5E" w14:textId="77777777" w:rsidR="00F23231" w:rsidRPr="002B62B9" w:rsidRDefault="00F23231"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Qua đối chiếu với các quy định của Hiến pháp, pháp luật hiện hành và các văn bản quy phạm pháp luật có liên quan, dự thảo Nghị quyết không có nội dung trái với Hiến pháp; bảo đảm tính hợp pháp, tính thống nhất của hệ thống pháp luật; không làm phát sinh việc hưởng trùng chế độ, chính sách đã được Trung ương quy định; đồng thời phù hợp với điều kiện thực tiễn và khả năng cân đối ngân sách của tỉnh Điện Biên.</w:t>
      </w:r>
    </w:p>
    <w:p w14:paraId="2F341FF3" w14:textId="3DEA0495" w:rsidR="00F23231" w:rsidRPr="006A288A" w:rsidRDefault="00F23231" w:rsidP="00EF0267">
      <w:pPr>
        <w:pStyle w:val="Heading3"/>
        <w:widowControl w:val="0"/>
        <w:spacing w:before="120" w:after="0" w:line="360" w:lineRule="exact"/>
        <w:ind w:firstLine="720"/>
        <w:jc w:val="both"/>
        <w:rPr>
          <w:rFonts w:ascii="Times New Roman" w:hAnsi="Times New Roman" w:cs="Times New Roman"/>
          <w:b/>
          <w:bCs/>
          <w:color w:val="auto"/>
        </w:rPr>
      </w:pPr>
      <w:r w:rsidRPr="006A288A">
        <w:rPr>
          <w:rFonts w:ascii="Times New Roman" w:hAnsi="Times New Roman" w:cs="Times New Roman"/>
          <w:b/>
          <w:bCs/>
          <w:color w:val="auto"/>
        </w:rPr>
        <w:t>V. TÍNH KHẢ THI VÀ ĐIỀU KIỆN BẢO ĐẢM THI HÀNH</w:t>
      </w:r>
    </w:p>
    <w:p w14:paraId="7DBA7496" w14:textId="55D933C2" w:rsidR="00F23231" w:rsidRPr="002B62B9" w:rsidRDefault="00F23231"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 xml:space="preserve">Chính sách được xây dựng trên cơ sở nhu cầu thực tế của tỉnh trong việc bố trí, luân chuyển, điều động, tăng cường cán bộ, công chức, viên chức </w:t>
      </w:r>
      <w:r w:rsidR="002A67B0">
        <w:rPr>
          <w:sz w:val="28"/>
          <w:szCs w:val="28"/>
        </w:rPr>
        <w:t>hỗ trợ</w:t>
      </w:r>
      <w:r w:rsidRPr="002B62B9">
        <w:rPr>
          <w:sz w:val="28"/>
          <w:szCs w:val="28"/>
        </w:rPr>
        <w:t xml:space="preserve"> Ủy ban nhân dân cấp xã nhằm nâng cao chất lượng hoạt động của chính quyền cơ sở. Đối tượng áp dụng, điều kiện hưởng, mức trợ cấp, hỗ trợ và nguyên tắc thực hiện </w:t>
      </w:r>
      <w:r w:rsidRPr="002B62B9">
        <w:rPr>
          <w:sz w:val="28"/>
          <w:szCs w:val="28"/>
        </w:rPr>
        <w:lastRenderedPageBreak/>
        <w:t>được quy định cụ thể, rõ ràng, bảo đảm thuận lợi trong quá trình tổ chức thực hiện, kiểm tra, giám sát và thanh quyết toán kinh phí.</w:t>
      </w:r>
    </w:p>
    <w:p w14:paraId="7517A390" w14:textId="77777777" w:rsidR="00F23231" w:rsidRPr="002B62B9" w:rsidRDefault="00F23231"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Các chính sách được đề xuất có phạm vi áp dụng rõ ràng, số lượng đối tượng thụ hưởng có thể xác định được, mức hỗ trợ phù hợp với điều kiện thực tiễn của địa phương và khả năng cân đối ngân sách của tỉnh. Tổng kinh phí dự kiến thực hiện chính sách không lớn so với khả năng cân đối ngân sách địa phương, do đó bảo đảm tính khả thi trong quá trình triển khai thực hiện.</w:t>
      </w:r>
    </w:p>
    <w:p w14:paraId="26EABBEE" w14:textId="77777777" w:rsidR="00F23231" w:rsidRPr="002B62B9" w:rsidRDefault="00F23231"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Để bảo đảm thi hành Nghị quyết, Ủy ban nhân dân tỉnh tổ chức triển khai thực hiện; ban hành hoặc chỉ đạo ban hành các văn bản hướng dẫn thực hiện theo thẩm quyền; chỉ đạo các cơ quan, đơn vị, địa phương rà soát, xác định đối tượng, lập dự toán, quản lý, sử dụng và thanh quyết toán kinh phí theo quy định của pháp luật.</w:t>
      </w:r>
    </w:p>
    <w:p w14:paraId="1638739A" w14:textId="77777777" w:rsidR="00F23231" w:rsidRPr="002B62B9" w:rsidRDefault="00F23231" w:rsidP="00EF0267">
      <w:pPr>
        <w:pStyle w:val="NormalWeb"/>
        <w:widowControl w:val="0"/>
        <w:spacing w:before="120" w:beforeAutospacing="0" w:after="0" w:afterAutospacing="0" w:line="360" w:lineRule="exact"/>
        <w:ind w:firstLine="720"/>
        <w:jc w:val="both"/>
        <w:rPr>
          <w:sz w:val="28"/>
          <w:szCs w:val="28"/>
        </w:rPr>
      </w:pPr>
      <w:r w:rsidRPr="002B62B9">
        <w:rPr>
          <w:sz w:val="28"/>
          <w:szCs w:val="28"/>
        </w:rPr>
        <w:t>Kinh phí thực hiện chính sách được bảo đảm từ ngân sách cấp tỉnh và được bố trí trong dự toán chi ngân sách hằng năm theo quy định của pháp luật về ngân sách nhà nước. Bên cạnh đó, trách nhiệm của các cơ quan, đơn vị, địa phương trong tổ chức thực hiện, kiểm tra và giám sát được xác định rõ, tạo cơ sở để chính sách được triển khai đồng bộ, thống nhất và hiệu quả sau khi Nghị quyết được ban hành.</w:t>
      </w:r>
    </w:p>
    <w:p w14:paraId="01F45030" w14:textId="57574FF9" w:rsidR="00EE1FCE" w:rsidRPr="002B62B9" w:rsidRDefault="00EE1FCE" w:rsidP="00EF0267">
      <w:pPr>
        <w:widowControl w:val="0"/>
        <w:spacing w:before="120" w:after="0" w:line="360" w:lineRule="exact"/>
        <w:ind w:firstLine="720"/>
        <w:jc w:val="both"/>
        <w:rPr>
          <w:rFonts w:ascii="Times New Roman" w:eastAsia="Times New Roman" w:hAnsi="Times New Roman" w:cs="Times New Roman"/>
          <w:sz w:val="28"/>
          <w:szCs w:val="28"/>
        </w:rPr>
      </w:pPr>
      <w:r w:rsidRPr="002B62B9">
        <w:rPr>
          <w:rFonts w:ascii="Times New Roman" w:hAnsi="Times New Roman" w:cs="Times New Roman"/>
          <w:sz w:val="28"/>
          <w:szCs w:val="28"/>
        </w:rPr>
        <w:t>Trên đây là nội dung thuyết minh dự thảo Nghị quyết của Hội đồng nhân dân tỉnh quy định chính sách trợ cấp, hỗ trợ đối với cán bộ, công chức, viên chức các cơ quan, đơn vị cấp tỉnh luân chuyển, điều động, tăng cường hỗ trợ Ủy ban nhân dân cấp xã thực hiện nhiệm vụ. Sở Nội vụ kính gửi Sở Tư pháp thẩm định theo quy định./.</w:t>
      </w:r>
    </w:p>
    <w:p w14:paraId="06881898" w14:textId="0045EC35" w:rsidR="00640488" w:rsidRPr="002B62B9" w:rsidRDefault="00640488" w:rsidP="00EF0267">
      <w:pPr>
        <w:pStyle w:val="FirstParagraph"/>
        <w:widowControl w:val="0"/>
        <w:spacing w:before="120" w:after="0" w:line="360" w:lineRule="exact"/>
        <w:ind w:firstLine="720"/>
        <w:jc w:val="both"/>
        <w:rPr>
          <w:rFonts w:ascii="Times New Roman" w:hAnsi="Times New Roman" w:cs="Times New Roman"/>
          <w:sz w:val="28"/>
          <w:szCs w:val="28"/>
        </w:rPr>
      </w:pPr>
    </w:p>
    <w:sectPr w:rsidR="00640488" w:rsidRPr="002B62B9" w:rsidSect="00EF0267">
      <w:headerReference w:type="default" r:id="rId7"/>
      <w:footnotePr>
        <w:numRestart w:val="eachSect"/>
      </w:footnotePr>
      <w:pgSz w:w="11907" w:h="16840" w:code="9"/>
      <w:pgMar w:top="1134" w:right="1134" w:bottom="107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7F57F" w14:textId="77777777" w:rsidR="00047246" w:rsidRDefault="00047246" w:rsidP="00F52F4F">
      <w:pPr>
        <w:spacing w:after="0"/>
      </w:pPr>
      <w:r>
        <w:separator/>
      </w:r>
    </w:p>
  </w:endnote>
  <w:endnote w:type="continuationSeparator" w:id="0">
    <w:p w14:paraId="6BF218EB" w14:textId="77777777" w:rsidR="00047246" w:rsidRDefault="00047246" w:rsidP="00F52F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98BB2" w14:textId="77777777" w:rsidR="00047246" w:rsidRDefault="00047246" w:rsidP="00F52F4F">
      <w:pPr>
        <w:spacing w:after="0"/>
      </w:pPr>
      <w:r>
        <w:separator/>
      </w:r>
    </w:p>
  </w:footnote>
  <w:footnote w:type="continuationSeparator" w:id="0">
    <w:p w14:paraId="60C291EA" w14:textId="77777777" w:rsidR="00047246" w:rsidRDefault="00047246" w:rsidP="00F52F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376705"/>
      <w:docPartObj>
        <w:docPartGallery w:val="Page Numbers (Top of Page)"/>
        <w:docPartUnique/>
      </w:docPartObj>
    </w:sdtPr>
    <w:sdtEndPr>
      <w:rPr>
        <w:rFonts w:ascii="Times New Roman" w:hAnsi="Times New Roman" w:cs="Times New Roman"/>
        <w:noProof/>
      </w:rPr>
    </w:sdtEndPr>
    <w:sdtContent>
      <w:p w14:paraId="5A254165" w14:textId="4C003648" w:rsidR="00F52F4F" w:rsidRPr="00C44786" w:rsidRDefault="00F52F4F">
        <w:pPr>
          <w:pStyle w:val="Header"/>
          <w:jc w:val="center"/>
          <w:rPr>
            <w:rFonts w:ascii="Times New Roman" w:hAnsi="Times New Roman" w:cs="Times New Roman"/>
          </w:rPr>
        </w:pPr>
        <w:r w:rsidRPr="00C44786">
          <w:rPr>
            <w:rFonts w:ascii="Times New Roman" w:hAnsi="Times New Roman" w:cs="Times New Roman"/>
          </w:rPr>
          <w:fldChar w:fldCharType="begin"/>
        </w:r>
        <w:r w:rsidRPr="00C44786">
          <w:rPr>
            <w:rFonts w:ascii="Times New Roman" w:hAnsi="Times New Roman" w:cs="Times New Roman"/>
          </w:rPr>
          <w:instrText xml:space="preserve"> PAGE   \* MERGEFORMAT </w:instrText>
        </w:r>
        <w:r w:rsidRPr="00C44786">
          <w:rPr>
            <w:rFonts w:ascii="Times New Roman" w:hAnsi="Times New Roman" w:cs="Times New Roman"/>
          </w:rPr>
          <w:fldChar w:fldCharType="separate"/>
        </w:r>
        <w:r w:rsidRPr="00C44786">
          <w:rPr>
            <w:rFonts w:ascii="Times New Roman" w:hAnsi="Times New Roman" w:cs="Times New Roman"/>
            <w:noProof/>
          </w:rPr>
          <w:t>2</w:t>
        </w:r>
        <w:r w:rsidRPr="00C4478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2C229CE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3760EC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987C97"/>
    <w:multiLevelType w:val="multilevel"/>
    <w:tmpl w:val="0768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A99411"/>
    <w:multiLevelType w:val="multilevel"/>
    <w:tmpl w:val="0B5284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0A99412"/>
    <w:multiLevelType w:val="multilevel"/>
    <w:tmpl w:val="F09659A8"/>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5" w15:restartNumberingAfterBreak="0">
    <w:nsid w:val="00A99413"/>
    <w:multiLevelType w:val="multilevel"/>
    <w:tmpl w:val="91DE5A2A"/>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6" w15:restartNumberingAfterBreak="0">
    <w:nsid w:val="00A99414"/>
    <w:multiLevelType w:val="multilevel"/>
    <w:tmpl w:val="22522CEC"/>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7" w15:restartNumberingAfterBreak="0">
    <w:nsid w:val="00A99415"/>
    <w:multiLevelType w:val="multilevel"/>
    <w:tmpl w:val="8E20F46E"/>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8" w15:restartNumberingAfterBreak="0">
    <w:nsid w:val="00A99612"/>
    <w:multiLevelType w:val="multilevel"/>
    <w:tmpl w:val="CE9A9426"/>
    <w:lvl w:ilvl="0">
      <w:start w:val="2"/>
      <w:numFmt w:val="upperRoman"/>
      <w:lvlText w:val="%1."/>
      <w:lvlJc w:val="left"/>
      <w:pPr>
        <w:ind w:left="720" w:hanging="360"/>
      </w:pPr>
    </w:lvl>
    <w:lvl w:ilvl="1">
      <w:start w:val="2"/>
      <w:numFmt w:val="upperRoman"/>
      <w:lvlText w:val="%2."/>
      <w:lvlJc w:val="left"/>
      <w:pPr>
        <w:ind w:left="1440" w:hanging="360"/>
      </w:pPr>
    </w:lvl>
    <w:lvl w:ilvl="2">
      <w:start w:val="2"/>
      <w:numFmt w:val="upperRoman"/>
      <w:lvlText w:val="%3."/>
      <w:lvlJc w:val="left"/>
      <w:pPr>
        <w:ind w:left="2160" w:hanging="360"/>
      </w:pPr>
    </w:lvl>
    <w:lvl w:ilvl="3">
      <w:start w:val="2"/>
      <w:numFmt w:val="upperRoman"/>
      <w:lvlText w:val="%4."/>
      <w:lvlJc w:val="left"/>
      <w:pPr>
        <w:ind w:left="2880" w:hanging="360"/>
      </w:pPr>
    </w:lvl>
    <w:lvl w:ilvl="4">
      <w:start w:val="2"/>
      <w:numFmt w:val="upperRoman"/>
      <w:lvlText w:val="%5."/>
      <w:lvlJc w:val="left"/>
      <w:pPr>
        <w:ind w:left="3600" w:hanging="360"/>
      </w:pPr>
    </w:lvl>
    <w:lvl w:ilvl="5">
      <w:start w:val="2"/>
      <w:numFmt w:val="upperRoman"/>
      <w:lvlText w:val="%6."/>
      <w:lvlJc w:val="left"/>
      <w:pPr>
        <w:ind w:left="4320" w:hanging="360"/>
      </w:pPr>
    </w:lvl>
    <w:lvl w:ilvl="6">
      <w:start w:val="2"/>
      <w:numFmt w:val="upperRoman"/>
      <w:lvlText w:val="%7."/>
      <w:lvlJc w:val="left"/>
      <w:pPr>
        <w:ind w:left="5040" w:hanging="360"/>
      </w:pPr>
    </w:lvl>
    <w:lvl w:ilvl="7">
      <w:start w:val="2"/>
      <w:numFmt w:val="upperRoman"/>
      <w:lvlText w:val="%8."/>
      <w:lvlJc w:val="left"/>
      <w:pPr>
        <w:ind w:left="5760" w:hanging="360"/>
      </w:pPr>
    </w:lvl>
    <w:lvl w:ilvl="8">
      <w:start w:val="2"/>
      <w:numFmt w:val="upperRoman"/>
      <w:lvlText w:val="%9."/>
      <w:lvlJc w:val="left"/>
      <w:pPr>
        <w:ind w:left="6480" w:hanging="360"/>
      </w:pPr>
    </w:lvl>
  </w:abstractNum>
  <w:abstractNum w:abstractNumId="9" w15:restartNumberingAfterBreak="0">
    <w:nsid w:val="00A99613"/>
    <w:multiLevelType w:val="multilevel"/>
    <w:tmpl w:val="2780A51A"/>
    <w:lvl w:ilvl="0">
      <w:start w:val="3"/>
      <w:numFmt w:val="upperRoman"/>
      <w:lvlText w:val="%1."/>
      <w:lvlJc w:val="left"/>
      <w:pPr>
        <w:ind w:left="720" w:hanging="360"/>
      </w:pPr>
    </w:lvl>
    <w:lvl w:ilvl="1">
      <w:start w:val="3"/>
      <w:numFmt w:val="upperRoman"/>
      <w:lvlText w:val="%2."/>
      <w:lvlJc w:val="left"/>
      <w:pPr>
        <w:ind w:left="1440" w:hanging="360"/>
      </w:pPr>
    </w:lvl>
    <w:lvl w:ilvl="2">
      <w:start w:val="3"/>
      <w:numFmt w:val="upperRoman"/>
      <w:lvlText w:val="%3."/>
      <w:lvlJc w:val="left"/>
      <w:pPr>
        <w:ind w:left="2160" w:hanging="360"/>
      </w:pPr>
    </w:lvl>
    <w:lvl w:ilvl="3">
      <w:start w:val="3"/>
      <w:numFmt w:val="upperRoman"/>
      <w:lvlText w:val="%4."/>
      <w:lvlJc w:val="left"/>
      <w:pPr>
        <w:ind w:left="2880" w:hanging="360"/>
      </w:pPr>
    </w:lvl>
    <w:lvl w:ilvl="4">
      <w:start w:val="3"/>
      <w:numFmt w:val="upperRoman"/>
      <w:lvlText w:val="%5."/>
      <w:lvlJc w:val="left"/>
      <w:pPr>
        <w:ind w:left="3600" w:hanging="360"/>
      </w:pPr>
    </w:lvl>
    <w:lvl w:ilvl="5">
      <w:start w:val="3"/>
      <w:numFmt w:val="upperRoman"/>
      <w:lvlText w:val="%6."/>
      <w:lvlJc w:val="left"/>
      <w:pPr>
        <w:ind w:left="4320" w:hanging="360"/>
      </w:pPr>
    </w:lvl>
    <w:lvl w:ilvl="6">
      <w:start w:val="3"/>
      <w:numFmt w:val="upperRoman"/>
      <w:lvlText w:val="%7."/>
      <w:lvlJc w:val="left"/>
      <w:pPr>
        <w:ind w:left="5040" w:hanging="360"/>
      </w:pPr>
    </w:lvl>
    <w:lvl w:ilvl="7">
      <w:start w:val="3"/>
      <w:numFmt w:val="upperRoman"/>
      <w:lvlText w:val="%8."/>
      <w:lvlJc w:val="left"/>
      <w:pPr>
        <w:ind w:left="5760" w:hanging="360"/>
      </w:pPr>
    </w:lvl>
    <w:lvl w:ilvl="8">
      <w:start w:val="3"/>
      <w:numFmt w:val="upperRoman"/>
      <w:lvlText w:val="%9."/>
      <w:lvlJc w:val="left"/>
      <w:pPr>
        <w:ind w:left="6480" w:hanging="360"/>
      </w:pPr>
    </w:lvl>
  </w:abstractNum>
  <w:abstractNum w:abstractNumId="10" w15:restartNumberingAfterBreak="0">
    <w:nsid w:val="00A99614"/>
    <w:multiLevelType w:val="multilevel"/>
    <w:tmpl w:val="5C721E7A"/>
    <w:lvl w:ilvl="0">
      <w:start w:val="4"/>
      <w:numFmt w:val="upperRoman"/>
      <w:lvlText w:val="%1."/>
      <w:lvlJc w:val="left"/>
      <w:pPr>
        <w:ind w:left="720" w:hanging="360"/>
      </w:pPr>
    </w:lvl>
    <w:lvl w:ilvl="1">
      <w:start w:val="4"/>
      <w:numFmt w:val="upperRoman"/>
      <w:lvlText w:val="%2."/>
      <w:lvlJc w:val="left"/>
      <w:pPr>
        <w:ind w:left="1440" w:hanging="360"/>
      </w:pPr>
    </w:lvl>
    <w:lvl w:ilvl="2">
      <w:start w:val="4"/>
      <w:numFmt w:val="upperRoman"/>
      <w:lvlText w:val="%3."/>
      <w:lvlJc w:val="left"/>
      <w:pPr>
        <w:ind w:left="2160" w:hanging="360"/>
      </w:pPr>
    </w:lvl>
    <w:lvl w:ilvl="3">
      <w:start w:val="4"/>
      <w:numFmt w:val="upperRoman"/>
      <w:lvlText w:val="%4."/>
      <w:lvlJc w:val="left"/>
      <w:pPr>
        <w:ind w:left="2880" w:hanging="360"/>
      </w:pPr>
    </w:lvl>
    <w:lvl w:ilvl="4">
      <w:start w:val="4"/>
      <w:numFmt w:val="upperRoman"/>
      <w:lvlText w:val="%5."/>
      <w:lvlJc w:val="left"/>
      <w:pPr>
        <w:ind w:left="3600" w:hanging="360"/>
      </w:pPr>
    </w:lvl>
    <w:lvl w:ilvl="5">
      <w:start w:val="4"/>
      <w:numFmt w:val="upperRoman"/>
      <w:lvlText w:val="%6."/>
      <w:lvlJc w:val="left"/>
      <w:pPr>
        <w:ind w:left="4320" w:hanging="360"/>
      </w:pPr>
    </w:lvl>
    <w:lvl w:ilvl="6">
      <w:start w:val="4"/>
      <w:numFmt w:val="upperRoman"/>
      <w:lvlText w:val="%7."/>
      <w:lvlJc w:val="left"/>
      <w:pPr>
        <w:ind w:left="5040" w:hanging="360"/>
      </w:pPr>
    </w:lvl>
    <w:lvl w:ilvl="7">
      <w:start w:val="4"/>
      <w:numFmt w:val="upperRoman"/>
      <w:lvlText w:val="%8."/>
      <w:lvlJc w:val="left"/>
      <w:pPr>
        <w:ind w:left="5760" w:hanging="360"/>
      </w:pPr>
    </w:lvl>
    <w:lvl w:ilvl="8">
      <w:start w:val="4"/>
      <w:numFmt w:val="upperRoman"/>
      <w:lvlText w:val="%9."/>
      <w:lvlJc w:val="left"/>
      <w:pPr>
        <w:ind w:left="6480" w:hanging="360"/>
      </w:pPr>
    </w:lvl>
  </w:abstractNum>
  <w:abstractNum w:abstractNumId="11" w15:restartNumberingAfterBreak="0">
    <w:nsid w:val="00A99721"/>
    <w:multiLevelType w:val="multilevel"/>
    <w:tmpl w:val="8A4626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2" w15:restartNumberingAfterBreak="0">
    <w:nsid w:val="00A99722"/>
    <w:multiLevelType w:val="multilevel"/>
    <w:tmpl w:val="BEB0D644"/>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13" w15:restartNumberingAfterBreak="0">
    <w:nsid w:val="0B685927"/>
    <w:multiLevelType w:val="hybridMultilevel"/>
    <w:tmpl w:val="86FAA318"/>
    <w:lvl w:ilvl="0" w:tplc="7110E41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1906767"/>
    <w:multiLevelType w:val="multilevel"/>
    <w:tmpl w:val="546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E30A3A"/>
    <w:multiLevelType w:val="hybridMultilevel"/>
    <w:tmpl w:val="AB848730"/>
    <w:lvl w:ilvl="0" w:tplc="A6F82758">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7C19B3"/>
    <w:multiLevelType w:val="hybridMultilevel"/>
    <w:tmpl w:val="D5989FC6"/>
    <w:lvl w:ilvl="0" w:tplc="7D409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FB2346"/>
    <w:multiLevelType w:val="multilevel"/>
    <w:tmpl w:val="C2F6F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210D27"/>
    <w:multiLevelType w:val="multilevel"/>
    <w:tmpl w:val="67187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095AD0"/>
    <w:multiLevelType w:val="multilevel"/>
    <w:tmpl w:val="33C8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A45306"/>
    <w:multiLevelType w:val="hybridMultilevel"/>
    <w:tmpl w:val="D506BFE4"/>
    <w:lvl w:ilvl="0" w:tplc="F176D03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DE3E48"/>
    <w:multiLevelType w:val="hybridMultilevel"/>
    <w:tmpl w:val="1FD22940"/>
    <w:lvl w:ilvl="0" w:tplc="A8A2C294">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5333817">
    <w:abstractNumId w:val="0"/>
  </w:num>
  <w:num w:numId="2" w16cid:durableId="1643920463">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16cid:durableId="375664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2698995">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 w16cid:durableId="679089803">
    <w:abstractNumId w:val="1"/>
  </w:num>
  <w:num w:numId="6" w16cid:durableId="924992193">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 w16cid:durableId="646472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7525922">
    <w:abstractNumId w:val="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 w16cid:durableId="1574465476">
    <w:abstractNumId w:val="1"/>
  </w:num>
  <w:num w:numId="10" w16cid:durableId="329522681">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1" w16cid:durableId="2144227104">
    <w:abstractNumId w:val="7"/>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2" w16cid:durableId="2120448161">
    <w:abstractNumId w:val="9"/>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3" w16cid:durableId="1039356357">
    <w:abstractNumId w:val="10"/>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4" w16cid:durableId="31544954">
    <w:abstractNumId w:val="1"/>
  </w:num>
  <w:num w:numId="15" w16cid:durableId="923301047">
    <w:abstractNumId w:val="21"/>
  </w:num>
  <w:num w:numId="16" w16cid:durableId="1853765199">
    <w:abstractNumId w:val="16"/>
  </w:num>
  <w:num w:numId="17" w16cid:durableId="1918006185">
    <w:abstractNumId w:val="20"/>
  </w:num>
  <w:num w:numId="18" w16cid:durableId="1988584226">
    <w:abstractNumId w:val="15"/>
  </w:num>
  <w:num w:numId="19" w16cid:durableId="857357164">
    <w:abstractNumId w:val="19"/>
  </w:num>
  <w:num w:numId="20" w16cid:durableId="712458739">
    <w:abstractNumId w:val="13"/>
  </w:num>
  <w:num w:numId="21" w16cid:durableId="6909832">
    <w:abstractNumId w:val="2"/>
  </w:num>
  <w:num w:numId="22" w16cid:durableId="521288339">
    <w:abstractNumId w:val="14"/>
  </w:num>
  <w:num w:numId="23" w16cid:durableId="695497351">
    <w:abstractNumId w:val="17"/>
  </w:num>
  <w:num w:numId="24" w16cid:durableId="18318224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88"/>
    <w:rsid w:val="000051AA"/>
    <w:rsid w:val="00020C18"/>
    <w:rsid w:val="00047246"/>
    <w:rsid w:val="00074990"/>
    <w:rsid w:val="000B77C4"/>
    <w:rsid w:val="000C7CA4"/>
    <w:rsid w:val="000F5AC9"/>
    <w:rsid w:val="00110388"/>
    <w:rsid w:val="00111655"/>
    <w:rsid w:val="00143835"/>
    <w:rsid w:val="00154B11"/>
    <w:rsid w:val="00163888"/>
    <w:rsid w:val="00165AB6"/>
    <w:rsid w:val="00172E6F"/>
    <w:rsid w:val="00194353"/>
    <w:rsid w:val="001B1640"/>
    <w:rsid w:val="001B313E"/>
    <w:rsid w:val="001B5E56"/>
    <w:rsid w:val="001E288A"/>
    <w:rsid w:val="00221570"/>
    <w:rsid w:val="0023209D"/>
    <w:rsid w:val="0025085F"/>
    <w:rsid w:val="00254DE7"/>
    <w:rsid w:val="00255622"/>
    <w:rsid w:val="00282ADD"/>
    <w:rsid w:val="002A23BD"/>
    <w:rsid w:val="002A67B0"/>
    <w:rsid w:val="002B62B9"/>
    <w:rsid w:val="002C00A6"/>
    <w:rsid w:val="002C6112"/>
    <w:rsid w:val="003233ED"/>
    <w:rsid w:val="00380A75"/>
    <w:rsid w:val="003F10C8"/>
    <w:rsid w:val="00402D26"/>
    <w:rsid w:val="0044181B"/>
    <w:rsid w:val="00475DAA"/>
    <w:rsid w:val="0048643F"/>
    <w:rsid w:val="00490D7D"/>
    <w:rsid w:val="00496E35"/>
    <w:rsid w:val="004A067C"/>
    <w:rsid w:val="004A3B44"/>
    <w:rsid w:val="004A7229"/>
    <w:rsid w:val="004B3E07"/>
    <w:rsid w:val="004B7DD0"/>
    <w:rsid w:val="004D3C84"/>
    <w:rsid w:val="004E79B2"/>
    <w:rsid w:val="00530F6E"/>
    <w:rsid w:val="0053784C"/>
    <w:rsid w:val="00596D69"/>
    <w:rsid w:val="00602D55"/>
    <w:rsid w:val="006341A1"/>
    <w:rsid w:val="00637876"/>
    <w:rsid w:val="00640488"/>
    <w:rsid w:val="006948B0"/>
    <w:rsid w:val="006A288A"/>
    <w:rsid w:val="006A676F"/>
    <w:rsid w:val="006E3479"/>
    <w:rsid w:val="006F0407"/>
    <w:rsid w:val="00707B72"/>
    <w:rsid w:val="007151F1"/>
    <w:rsid w:val="00730425"/>
    <w:rsid w:val="00757164"/>
    <w:rsid w:val="00766C69"/>
    <w:rsid w:val="00772F45"/>
    <w:rsid w:val="00781D1E"/>
    <w:rsid w:val="007C034F"/>
    <w:rsid w:val="007D0E70"/>
    <w:rsid w:val="007D1BFB"/>
    <w:rsid w:val="007D34D9"/>
    <w:rsid w:val="007F55F5"/>
    <w:rsid w:val="008049D7"/>
    <w:rsid w:val="008057C1"/>
    <w:rsid w:val="00840A15"/>
    <w:rsid w:val="0084393E"/>
    <w:rsid w:val="00865159"/>
    <w:rsid w:val="008C7A6C"/>
    <w:rsid w:val="00901F51"/>
    <w:rsid w:val="00907FBF"/>
    <w:rsid w:val="00937F5D"/>
    <w:rsid w:val="009F2B09"/>
    <w:rsid w:val="00A20FB8"/>
    <w:rsid w:val="00A26A0E"/>
    <w:rsid w:val="00A35FBE"/>
    <w:rsid w:val="00A420A4"/>
    <w:rsid w:val="00A56D73"/>
    <w:rsid w:val="00A67874"/>
    <w:rsid w:val="00A73C24"/>
    <w:rsid w:val="00A95BF2"/>
    <w:rsid w:val="00AD3B49"/>
    <w:rsid w:val="00AE7780"/>
    <w:rsid w:val="00B35302"/>
    <w:rsid w:val="00B35BA7"/>
    <w:rsid w:val="00B76891"/>
    <w:rsid w:val="00B93CDD"/>
    <w:rsid w:val="00BD4EB3"/>
    <w:rsid w:val="00BF43A5"/>
    <w:rsid w:val="00C1532D"/>
    <w:rsid w:val="00C177D5"/>
    <w:rsid w:val="00C22C6E"/>
    <w:rsid w:val="00C44786"/>
    <w:rsid w:val="00C77957"/>
    <w:rsid w:val="00C86D57"/>
    <w:rsid w:val="00C90F6B"/>
    <w:rsid w:val="00C938A2"/>
    <w:rsid w:val="00C96B3C"/>
    <w:rsid w:val="00CC7797"/>
    <w:rsid w:val="00CE1181"/>
    <w:rsid w:val="00CE5B0E"/>
    <w:rsid w:val="00D71006"/>
    <w:rsid w:val="00D7193C"/>
    <w:rsid w:val="00DB37DE"/>
    <w:rsid w:val="00DC4FAA"/>
    <w:rsid w:val="00DE1368"/>
    <w:rsid w:val="00E04188"/>
    <w:rsid w:val="00E21BBA"/>
    <w:rsid w:val="00E3286F"/>
    <w:rsid w:val="00E864D1"/>
    <w:rsid w:val="00EA70BD"/>
    <w:rsid w:val="00EE1FCE"/>
    <w:rsid w:val="00EE47AC"/>
    <w:rsid w:val="00EF0267"/>
    <w:rsid w:val="00F01328"/>
    <w:rsid w:val="00F07FD7"/>
    <w:rsid w:val="00F23231"/>
    <w:rsid w:val="00F312CF"/>
    <w:rsid w:val="00F355E2"/>
    <w:rsid w:val="00F37212"/>
    <w:rsid w:val="00F413EA"/>
    <w:rsid w:val="00F52F4F"/>
    <w:rsid w:val="00F6734B"/>
    <w:rsid w:val="00F86FE0"/>
    <w:rsid w:val="00FB14A9"/>
    <w:rsid w:val="00FB4A16"/>
    <w:rsid w:val="00FD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EEFA"/>
  <w15:docId w15:val="{6F42EBFD-8316-4508-8819-C982FBE3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BD4EB3"/>
    <w:pPr>
      <w:spacing w:before="100" w:beforeAutospacing="1" w:after="100" w:afterAutospacing="1"/>
    </w:pPr>
    <w:rPr>
      <w:rFonts w:ascii="Times New Roman" w:eastAsia="Times New Roman" w:hAnsi="Times New Roman" w:cs="Times New Roman"/>
    </w:rPr>
  </w:style>
  <w:style w:type="paragraph" w:customStyle="1" w:styleId="isselectedend">
    <w:name w:val="isselectedend"/>
    <w:basedOn w:val="Normal"/>
    <w:rsid w:val="00901F5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312CF"/>
    <w:rPr>
      <w:b/>
      <w:bCs/>
    </w:rPr>
  </w:style>
  <w:style w:type="paragraph" w:styleId="ListParagraph">
    <w:name w:val="List Paragraph"/>
    <w:basedOn w:val="Normal"/>
    <w:rsid w:val="00602D55"/>
    <w:pPr>
      <w:ind w:left="720"/>
      <w:contextualSpacing/>
    </w:pPr>
  </w:style>
  <w:style w:type="paragraph" w:styleId="Header">
    <w:name w:val="header"/>
    <w:basedOn w:val="Normal"/>
    <w:link w:val="HeaderChar"/>
    <w:uiPriority w:val="99"/>
    <w:unhideWhenUsed/>
    <w:rsid w:val="00F52F4F"/>
    <w:pPr>
      <w:tabs>
        <w:tab w:val="center" w:pos="4680"/>
        <w:tab w:val="right" w:pos="9360"/>
      </w:tabs>
      <w:spacing w:after="0"/>
    </w:pPr>
  </w:style>
  <w:style w:type="character" w:customStyle="1" w:styleId="HeaderChar">
    <w:name w:val="Header Char"/>
    <w:basedOn w:val="DefaultParagraphFont"/>
    <w:link w:val="Header"/>
    <w:uiPriority w:val="99"/>
    <w:rsid w:val="00F52F4F"/>
  </w:style>
  <w:style w:type="paragraph" w:styleId="Footer">
    <w:name w:val="footer"/>
    <w:basedOn w:val="Normal"/>
    <w:link w:val="FooterChar"/>
    <w:unhideWhenUsed/>
    <w:rsid w:val="00F52F4F"/>
    <w:pPr>
      <w:tabs>
        <w:tab w:val="center" w:pos="4680"/>
        <w:tab w:val="right" w:pos="9360"/>
      </w:tabs>
      <w:spacing w:after="0"/>
    </w:pPr>
  </w:style>
  <w:style w:type="character" w:customStyle="1" w:styleId="FooterChar">
    <w:name w:val="Footer Char"/>
    <w:basedOn w:val="DefaultParagraphFont"/>
    <w:link w:val="Footer"/>
    <w:rsid w:val="00F52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6316">
      <w:bodyDiv w:val="1"/>
      <w:marLeft w:val="0"/>
      <w:marRight w:val="0"/>
      <w:marTop w:val="0"/>
      <w:marBottom w:val="0"/>
      <w:divBdr>
        <w:top w:val="none" w:sz="0" w:space="0" w:color="auto"/>
        <w:left w:val="none" w:sz="0" w:space="0" w:color="auto"/>
        <w:bottom w:val="none" w:sz="0" w:space="0" w:color="auto"/>
        <w:right w:val="none" w:sz="0" w:space="0" w:color="auto"/>
      </w:divBdr>
    </w:div>
    <w:div w:id="103766531">
      <w:bodyDiv w:val="1"/>
      <w:marLeft w:val="0"/>
      <w:marRight w:val="0"/>
      <w:marTop w:val="0"/>
      <w:marBottom w:val="0"/>
      <w:divBdr>
        <w:top w:val="none" w:sz="0" w:space="0" w:color="auto"/>
        <w:left w:val="none" w:sz="0" w:space="0" w:color="auto"/>
        <w:bottom w:val="none" w:sz="0" w:space="0" w:color="auto"/>
        <w:right w:val="none" w:sz="0" w:space="0" w:color="auto"/>
      </w:divBdr>
    </w:div>
    <w:div w:id="139075986">
      <w:bodyDiv w:val="1"/>
      <w:marLeft w:val="0"/>
      <w:marRight w:val="0"/>
      <w:marTop w:val="0"/>
      <w:marBottom w:val="0"/>
      <w:divBdr>
        <w:top w:val="none" w:sz="0" w:space="0" w:color="auto"/>
        <w:left w:val="none" w:sz="0" w:space="0" w:color="auto"/>
        <w:bottom w:val="none" w:sz="0" w:space="0" w:color="auto"/>
        <w:right w:val="none" w:sz="0" w:space="0" w:color="auto"/>
      </w:divBdr>
    </w:div>
    <w:div w:id="226763992">
      <w:bodyDiv w:val="1"/>
      <w:marLeft w:val="0"/>
      <w:marRight w:val="0"/>
      <w:marTop w:val="0"/>
      <w:marBottom w:val="0"/>
      <w:divBdr>
        <w:top w:val="none" w:sz="0" w:space="0" w:color="auto"/>
        <w:left w:val="none" w:sz="0" w:space="0" w:color="auto"/>
        <w:bottom w:val="none" w:sz="0" w:space="0" w:color="auto"/>
        <w:right w:val="none" w:sz="0" w:space="0" w:color="auto"/>
      </w:divBdr>
    </w:div>
    <w:div w:id="234436682">
      <w:bodyDiv w:val="1"/>
      <w:marLeft w:val="0"/>
      <w:marRight w:val="0"/>
      <w:marTop w:val="0"/>
      <w:marBottom w:val="0"/>
      <w:divBdr>
        <w:top w:val="none" w:sz="0" w:space="0" w:color="auto"/>
        <w:left w:val="none" w:sz="0" w:space="0" w:color="auto"/>
        <w:bottom w:val="none" w:sz="0" w:space="0" w:color="auto"/>
        <w:right w:val="none" w:sz="0" w:space="0" w:color="auto"/>
      </w:divBdr>
    </w:div>
    <w:div w:id="346249471">
      <w:bodyDiv w:val="1"/>
      <w:marLeft w:val="0"/>
      <w:marRight w:val="0"/>
      <w:marTop w:val="0"/>
      <w:marBottom w:val="0"/>
      <w:divBdr>
        <w:top w:val="none" w:sz="0" w:space="0" w:color="auto"/>
        <w:left w:val="none" w:sz="0" w:space="0" w:color="auto"/>
        <w:bottom w:val="none" w:sz="0" w:space="0" w:color="auto"/>
        <w:right w:val="none" w:sz="0" w:space="0" w:color="auto"/>
      </w:divBdr>
    </w:div>
    <w:div w:id="372655739">
      <w:bodyDiv w:val="1"/>
      <w:marLeft w:val="0"/>
      <w:marRight w:val="0"/>
      <w:marTop w:val="0"/>
      <w:marBottom w:val="0"/>
      <w:divBdr>
        <w:top w:val="none" w:sz="0" w:space="0" w:color="auto"/>
        <w:left w:val="none" w:sz="0" w:space="0" w:color="auto"/>
        <w:bottom w:val="none" w:sz="0" w:space="0" w:color="auto"/>
        <w:right w:val="none" w:sz="0" w:space="0" w:color="auto"/>
      </w:divBdr>
    </w:div>
    <w:div w:id="409083960">
      <w:bodyDiv w:val="1"/>
      <w:marLeft w:val="0"/>
      <w:marRight w:val="0"/>
      <w:marTop w:val="0"/>
      <w:marBottom w:val="0"/>
      <w:divBdr>
        <w:top w:val="none" w:sz="0" w:space="0" w:color="auto"/>
        <w:left w:val="none" w:sz="0" w:space="0" w:color="auto"/>
        <w:bottom w:val="none" w:sz="0" w:space="0" w:color="auto"/>
        <w:right w:val="none" w:sz="0" w:space="0" w:color="auto"/>
      </w:divBdr>
    </w:div>
    <w:div w:id="526453845">
      <w:bodyDiv w:val="1"/>
      <w:marLeft w:val="0"/>
      <w:marRight w:val="0"/>
      <w:marTop w:val="0"/>
      <w:marBottom w:val="0"/>
      <w:divBdr>
        <w:top w:val="none" w:sz="0" w:space="0" w:color="auto"/>
        <w:left w:val="none" w:sz="0" w:space="0" w:color="auto"/>
        <w:bottom w:val="none" w:sz="0" w:space="0" w:color="auto"/>
        <w:right w:val="none" w:sz="0" w:space="0" w:color="auto"/>
      </w:divBdr>
    </w:div>
    <w:div w:id="578178241">
      <w:bodyDiv w:val="1"/>
      <w:marLeft w:val="0"/>
      <w:marRight w:val="0"/>
      <w:marTop w:val="0"/>
      <w:marBottom w:val="0"/>
      <w:divBdr>
        <w:top w:val="none" w:sz="0" w:space="0" w:color="auto"/>
        <w:left w:val="none" w:sz="0" w:space="0" w:color="auto"/>
        <w:bottom w:val="none" w:sz="0" w:space="0" w:color="auto"/>
        <w:right w:val="none" w:sz="0" w:space="0" w:color="auto"/>
      </w:divBdr>
    </w:div>
    <w:div w:id="592208761">
      <w:bodyDiv w:val="1"/>
      <w:marLeft w:val="0"/>
      <w:marRight w:val="0"/>
      <w:marTop w:val="0"/>
      <w:marBottom w:val="0"/>
      <w:divBdr>
        <w:top w:val="none" w:sz="0" w:space="0" w:color="auto"/>
        <w:left w:val="none" w:sz="0" w:space="0" w:color="auto"/>
        <w:bottom w:val="none" w:sz="0" w:space="0" w:color="auto"/>
        <w:right w:val="none" w:sz="0" w:space="0" w:color="auto"/>
      </w:divBdr>
    </w:div>
    <w:div w:id="855927184">
      <w:bodyDiv w:val="1"/>
      <w:marLeft w:val="0"/>
      <w:marRight w:val="0"/>
      <w:marTop w:val="0"/>
      <w:marBottom w:val="0"/>
      <w:divBdr>
        <w:top w:val="none" w:sz="0" w:space="0" w:color="auto"/>
        <w:left w:val="none" w:sz="0" w:space="0" w:color="auto"/>
        <w:bottom w:val="none" w:sz="0" w:space="0" w:color="auto"/>
        <w:right w:val="none" w:sz="0" w:space="0" w:color="auto"/>
      </w:divBdr>
    </w:div>
    <w:div w:id="890923667">
      <w:bodyDiv w:val="1"/>
      <w:marLeft w:val="0"/>
      <w:marRight w:val="0"/>
      <w:marTop w:val="0"/>
      <w:marBottom w:val="0"/>
      <w:divBdr>
        <w:top w:val="none" w:sz="0" w:space="0" w:color="auto"/>
        <w:left w:val="none" w:sz="0" w:space="0" w:color="auto"/>
        <w:bottom w:val="none" w:sz="0" w:space="0" w:color="auto"/>
        <w:right w:val="none" w:sz="0" w:space="0" w:color="auto"/>
      </w:divBdr>
    </w:div>
    <w:div w:id="905342310">
      <w:bodyDiv w:val="1"/>
      <w:marLeft w:val="0"/>
      <w:marRight w:val="0"/>
      <w:marTop w:val="0"/>
      <w:marBottom w:val="0"/>
      <w:divBdr>
        <w:top w:val="none" w:sz="0" w:space="0" w:color="auto"/>
        <w:left w:val="none" w:sz="0" w:space="0" w:color="auto"/>
        <w:bottom w:val="none" w:sz="0" w:space="0" w:color="auto"/>
        <w:right w:val="none" w:sz="0" w:space="0" w:color="auto"/>
      </w:divBdr>
    </w:div>
    <w:div w:id="906690841">
      <w:bodyDiv w:val="1"/>
      <w:marLeft w:val="0"/>
      <w:marRight w:val="0"/>
      <w:marTop w:val="0"/>
      <w:marBottom w:val="0"/>
      <w:divBdr>
        <w:top w:val="none" w:sz="0" w:space="0" w:color="auto"/>
        <w:left w:val="none" w:sz="0" w:space="0" w:color="auto"/>
        <w:bottom w:val="none" w:sz="0" w:space="0" w:color="auto"/>
        <w:right w:val="none" w:sz="0" w:space="0" w:color="auto"/>
      </w:divBdr>
    </w:div>
    <w:div w:id="1009216442">
      <w:bodyDiv w:val="1"/>
      <w:marLeft w:val="0"/>
      <w:marRight w:val="0"/>
      <w:marTop w:val="0"/>
      <w:marBottom w:val="0"/>
      <w:divBdr>
        <w:top w:val="none" w:sz="0" w:space="0" w:color="auto"/>
        <w:left w:val="none" w:sz="0" w:space="0" w:color="auto"/>
        <w:bottom w:val="none" w:sz="0" w:space="0" w:color="auto"/>
        <w:right w:val="none" w:sz="0" w:space="0" w:color="auto"/>
      </w:divBdr>
    </w:div>
    <w:div w:id="1202937744">
      <w:bodyDiv w:val="1"/>
      <w:marLeft w:val="0"/>
      <w:marRight w:val="0"/>
      <w:marTop w:val="0"/>
      <w:marBottom w:val="0"/>
      <w:divBdr>
        <w:top w:val="none" w:sz="0" w:space="0" w:color="auto"/>
        <w:left w:val="none" w:sz="0" w:space="0" w:color="auto"/>
        <w:bottom w:val="none" w:sz="0" w:space="0" w:color="auto"/>
        <w:right w:val="none" w:sz="0" w:space="0" w:color="auto"/>
      </w:divBdr>
    </w:div>
    <w:div w:id="1653290421">
      <w:bodyDiv w:val="1"/>
      <w:marLeft w:val="0"/>
      <w:marRight w:val="0"/>
      <w:marTop w:val="0"/>
      <w:marBottom w:val="0"/>
      <w:divBdr>
        <w:top w:val="none" w:sz="0" w:space="0" w:color="auto"/>
        <w:left w:val="none" w:sz="0" w:space="0" w:color="auto"/>
        <w:bottom w:val="none" w:sz="0" w:space="0" w:color="auto"/>
        <w:right w:val="none" w:sz="0" w:space="0" w:color="auto"/>
      </w:divBdr>
    </w:div>
    <w:div w:id="1931817910">
      <w:bodyDiv w:val="1"/>
      <w:marLeft w:val="0"/>
      <w:marRight w:val="0"/>
      <w:marTop w:val="0"/>
      <w:marBottom w:val="0"/>
      <w:divBdr>
        <w:top w:val="none" w:sz="0" w:space="0" w:color="auto"/>
        <w:left w:val="none" w:sz="0" w:space="0" w:color="auto"/>
        <w:bottom w:val="none" w:sz="0" w:space="0" w:color="auto"/>
        <w:right w:val="none" w:sz="0" w:space="0" w:color="auto"/>
      </w:divBdr>
    </w:div>
    <w:div w:id="2114394053">
      <w:bodyDiv w:val="1"/>
      <w:marLeft w:val="0"/>
      <w:marRight w:val="0"/>
      <w:marTop w:val="0"/>
      <w:marBottom w:val="0"/>
      <w:divBdr>
        <w:top w:val="none" w:sz="0" w:space="0" w:color="auto"/>
        <w:left w:val="none" w:sz="0" w:space="0" w:color="auto"/>
        <w:bottom w:val="none" w:sz="0" w:space="0" w:color="auto"/>
        <w:right w:val="none" w:sz="0" w:space="0" w:color="auto"/>
      </w:divBdr>
    </w:div>
    <w:div w:id="2143497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2461</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keywords/>
  <cp:lastModifiedBy>HP</cp:lastModifiedBy>
  <cp:revision>185</cp:revision>
  <cp:lastPrinted>2026-06-04T04:10:00Z</cp:lastPrinted>
  <dcterms:created xsi:type="dcterms:W3CDTF">2026-06-04T02:49:00Z</dcterms:created>
  <dcterms:modified xsi:type="dcterms:W3CDTF">2026-06-08T11:33:00Z</dcterms:modified>
</cp:coreProperties>
</file>